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5BB2" w:rsidRDefault="00C3484C">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Hlk168564418"/>
      <w:bookmarkStart w:id="1" w:name="_GoBack"/>
      <w:r>
        <w:rPr>
          <w:rFonts w:ascii="Arial" w:eastAsia="Arial" w:hAnsi="Arial"/>
          <w:b/>
          <w:color w:val="000000"/>
          <w:sz w:val="36"/>
          <w:szCs w:val="36"/>
        </w:rPr>
        <w:t>Joint Schedule 7 (Financial Difficulties)</w:t>
      </w:r>
    </w:p>
    <w:bookmarkEnd w:id="0"/>
    <w:bookmarkEnd w:id="1"/>
    <w:p w:rsidR="007F5BB2" w:rsidRDefault="007F5BB2">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rsidR="007F5BB2" w:rsidRDefault="00C3484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7F5BB2" w:rsidRDefault="00C3484C">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rsidR="007F5BB2" w:rsidRDefault="007F5BB2">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a"/>
        <w:tblW w:w="9075" w:type="dxa"/>
        <w:tblInd w:w="355" w:type="dxa"/>
        <w:tblBorders>
          <w:top w:val="nil"/>
          <w:left w:val="nil"/>
          <w:bottom w:val="nil"/>
          <w:right w:val="nil"/>
          <w:insideH w:val="nil"/>
          <w:insideV w:val="nil"/>
        </w:tblBorders>
        <w:tblLayout w:type="fixed"/>
        <w:tblLook w:val="0400" w:firstRow="0" w:lastRow="0" w:firstColumn="0" w:lastColumn="0" w:noHBand="0" w:noVBand="1"/>
      </w:tblPr>
      <w:tblGrid>
        <w:gridCol w:w="1625"/>
        <w:gridCol w:w="7450"/>
      </w:tblGrid>
      <w:tr w:rsidR="00C809E9" w:rsidTr="00C809E9">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C809E9" w:rsidRPr="00C809E9" w:rsidRDefault="00C809E9" w:rsidP="00C809E9">
            <w:pPr>
              <w:overflowPunct/>
              <w:autoSpaceDE/>
              <w:autoSpaceDN/>
              <w:adjustRightInd/>
              <w:textAlignment w:val="auto"/>
              <w:rPr>
                <w:rFonts w:ascii="Arial" w:eastAsia="Arial" w:hAnsi="Arial"/>
                <w:color w:val="000000"/>
                <w:sz w:val="24"/>
                <w:szCs w:val="24"/>
              </w:rPr>
            </w:pPr>
            <w:r w:rsidRPr="00C809E9">
              <w:rPr>
                <w:rFonts w:ascii="Arial" w:eastAsia="Arial" w:hAnsi="Arial"/>
                <w:color w:val="000000"/>
                <w:sz w:val="24"/>
                <w:szCs w:val="24"/>
              </w:rPr>
              <w:t>“Applicable Financial Indicators”</w:t>
            </w:r>
          </w:p>
        </w:tc>
        <w:tc>
          <w:tcPr>
            <w:tcW w:w="7450" w:type="dxa"/>
            <w:tcBorders>
              <w:top w:val="single" w:sz="4" w:space="0" w:color="auto"/>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means the financial indicators from Paragraph 5.1 of this Schedule which are to apply to the Monitored Suppliers as set out in Paragraph 5.2 of this Schedule;</w:t>
            </w:r>
          </w:p>
        </w:tc>
      </w:tr>
      <w:tr w:rsidR="00C809E9" w:rsidTr="00C809E9">
        <w:tc>
          <w:tcPr>
            <w:tcW w:w="1625" w:type="dxa"/>
            <w:tcBorders>
              <w:top w:val="nil"/>
              <w:left w:val="single" w:sz="4" w:space="0" w:color="auto"/>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“Board”</w:t>
            </w:r>
          </w:p>
        </w:tc>
        <w:tc>
          <w:tcPr>
            <w:tcW w:w="7450" w:type="dxa"/>
            <w:tcBorders>
              <w:top w:val="nil"/>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means the Supplier’s board of directors;</w:t>
            </w:r>
          </w:p>
        </w:tc>
      </w:tr>
      <w:tr w:rsidR="00C809E9" w:rsidTr="00C809E9">
        <w:tc>
          <w:tcPr>
            <w:tcW w:w="1625" w:type="dxa"/>
            <w:tcBorders>
              <w:top w:val="nil"/>
              <w:left w:val="single" w:sz="4" w:space="0" w:color="auto"/>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“Board Confirmation”</w:t>
            </w:r>
          </w:p>
        </w:tc>
        <w:tc>
          <w:tcPr>
            <w:tcW w:w="7450" w:type="dxa"/>
            <w:tcBorders>
              <w:top w:val="nil"/>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means written confirmation from the Board in accordance with Paragraph 8 of this Schedule;</w:t>
            </w:r>
          </w:p>
        </w:tc>
      </w:tr>
      <w:tr w:rsidR="00C809E9" w:rsidTr="00C809E9">
        <w:tc>
          <w:tcPr>
            <w:tcW w:w="1625" w:type="dxa"/>
            <w:tcBorders>
              <w:top w:val="nil"/>
              <w:left w:val="single" w:sz="4" w:space="0" w:color="auto"/>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“Cabinet Office Markets and Suppliers Team”</w:t>
            </w:r>
          </w:p>
        </w:tc>
        <w:tc>
          <w:tcPr>
            <w:tcW w:w="7450" w:type="dxa"/>
            <w:tcBorders>
              <w:top w:val="nil"/>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means the UK Government’s team responsible for managing the relationship between government and its Strategic Suppliers, or any replacement or successor body carrying out the same function;</w:t>
            </w:r>
          </w:p>
        </w:tc>
      </w:tr>
      <w:tr w:rsidR="00C809E9" w:rsidTr="00C809E9">
        <w:tc>
          <w:tcPr>
            <w:tcW w:w="1625" w:type="dxa"/>
            <w:tcBorders>
              <w:top w:val="nil"/>
              <w:left w:val="single" w:sz="4" w:space="0" w:color="auto"/>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“Credit Rating Threshold”</w:t>
            </w:r>
          </w:p>
        </w:tc>
        <w:tc>
          <w:tcPr>
            <w:tcW w:w="7450" w:type="dxa"/>
            <w:tcBorders>
              <w:top w:val="nil"/>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the minimum credit rating level for each entity in the FDE Group as set out in Annex 1 to this Schedule;</w:t>
            </w:r>
          </w:p>
        </w:tc>
      </w:tr>
      <w:tr w:rsidR="00C809E9" w:rsidTr="00C809E9">
        <w:tc>
          <w:tcPr>
            <w:tcW w:w="1625" w:type="dxa"/>
            <w:tcBorders>
              <w:top w:val="nil"/>
              <w:left w:val="single" w:sz="4" w:space="0" w:color="auto"/>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“FDE Group”</w:t>
            </w:r>
          </w:p>
        </w:tc>
        <w:tc>
          <w:tcPr>
            <w:tcW w:w="7450" w:type="dxa"/>
            <w:tcBorders>
              <w:top w:val="nil"/>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means the [</w:t>
            </w:r>
            <w:r w:rsidRPr="00513BC6">
              <w:rPr>
                <w:rFonts w:ascii="Arial" w:eastAsia="Arial" w:hAnsi="Arial"/>
                <w:color w:val="000000"/>
                <w:sz w:val="24"/>
                <w:szCs w:val="24"/>
                <w:highlight w:val="yellow"/>
              </w:rPr>
              <w:t>Supplier, Key Sub-contractors, [the Guarantor] and the [Monitored Suppliers]];</w:t>
            </w:r>
          </w:p>
        </w:tc>
      </w:tr>
      <w:tr w:rsidR="00C809E9" w:rsidTr="00C809E9">
        <w:tc>
          <w:tcPr>
            <w:tcW w:w="1625" w:type="dxa"/>
            <w:tcBorders>
              <w:top w:val="nil"/>
              <w:left w:val="single" w:sz="4" w:space="0" w:color="auto"/>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“Financial Distress Event”</w:t>
            </w:r>
          </w:p>
        </w:tc>
        <w:tc>
          <w:tcPr>
            <w:tcW w:w="7450" w:type="dxa"/>
            <w:tcBorders>
              <w:top w:val="nil"/>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Any of the events listed in Paragraph 3.1 of this Schedule;</w:t>
            </w:r>
          </w:p>
        </w:tc>
      </w:tr>
      <w:tr w:rsidR="00C809E9" w:rsidTr="00C809E9">
        <w:tc>
          <w:tcPr>
            <w:tcW w:w="1625" w:type="dxa"/>
            <w:tcBorders>
              <w:top w:val="nil"/>
              <w:left w:val="single" w:sz="4" w:space="0" w:color="auto"/>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“Financial Distress Remediation Plan”</w:t>
            </w:r>
          </w:p>
        </w:tc>
        <w:tc>
          <w:tcPr>
            <w:tcW w:w="7450" w:type="dxa"/>
            <w:tcBorders>
              <w:top w:val="nil"/>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C809E9" w:rsidTr="00C809E9">
        <w:tc>
          <w:tcPr>
            <w:tcW w:w="1625" w:type="dxa"/>
            <w:tcBorders>
              <w:top w:val="nil"/>
              <w:left w:val="single" w:sz="4" w:space="0" w:color="auto"/>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“Financial Indicators”</w:t>
            </w:r>
          </w:p>
        </w:tc>
        <w:tc>
          <w:tcPr>
            <w:tcW w:w="7450" w:type="dxa"/>
            <w:tcBorders>
              <w:top w:val="nil"/>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C809E9" w:rsidTr="00C809E9">
        <w:tc>
          <w:tcPr>
            <w:tcW w:w="1625" w:type="dxa"/>
            <w:tcBorders>
              <w:top w:val="nil"/>
              <w:left w:val="single" w:sz="4" w:space="0" w:color="auto"/>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“Financial Target Thresholds”</w:t>
            </w:r>
          </w:p>
        </w:tc>
        <w:tc>
          <w:tcPr>
            <w:tcW w:w="7450" w:type="dxa"/>
            <w:tcBorders>
              <w:top w:val="nil"/>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means the target thresholds for each of the Financial Indicators set out at paragraph 5.1 of this Schedule;</w:t>
            </w:r>
          </w:p>
        </w:tc>
      </w:tr>
      <w:tr w:rsidR="00C809E9" w:rsidTr="00C809E9">
        <w:tc>
          <w:tcPr>
            <w:tcW w:w="1625" w:type="dxa"/>
            <w:tcBorders>
              <w:top w:val="nil"/>
              <w:left w:val="single" w:sz="4" w:space="0" w:color="auto"/>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“Monitored Suppliers”</w:t>
            </w:r>
          </w:p>
        </w:tc>
        <w:tc>
          <w:tcPr>
            <w:tcW w:w="7450" w:type="dxa"/>
            <w:tcBorders>
              <w:top w:val="nil"/>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means those entities specified at paragraph 5.2 of this Schedule;</w:t>
            </w:r>
          </w:p>
        </w:tc>
      </w:tr>
      <w:tr w:rsidR="00C809E9" w:rsidTr="00C809E9">
        <w:tc>
          <w:tcPr>
            <w:tcW w:w="1625" w:type="dxa"/>
            <w:tcBorders>
              <w:top w:val="nil"/>
              <w:left w:val="single" w:sz="4" w:space="0" w:color="auto"/>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“Rating Agencies”</w:t>
            </w:r>
          </w:p>
        </w:tc>
        <w:tc>
          <w:tcPr>
            <w:tcW w:w="7450" w:type="dxa"/>
            <w:tcBorders>
              <w:top w:val="nil"/>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The rating agencies listed in Annex 1 of this Schedule;</w:t>
            </w:r>
          </w:p>
        </w:tc>
      </w:tr>
      <w:tr w:rsidR="00C809E9" w:rsidTr="00C809E9">
        <w:tc>
          <w:tcPr>
            <w:tcW w:w="1625" w:type="dxa"/>
            <w:tcBorders>
              <w:top w:val="nil"/>
              <w:left w:val="single" w:sz="4" w:space="0" w:color="auto"/>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“Strategic Supplier”</w:t>
            </w:r>
          </w:p>
        </w:tc>
        <w:tc>
          <w:tcPr>
            <w:tcW w:w="7450" w:type="dxa"/>
            <w:tcBorders>
              <w:top w:val="nil"/>
              <w:left w:val="nil"/>
              <w:bottom w:val="single" w:sz="4" w:space="0" w:color="auto"/>
              <w:right w:val="single" w:sz="4" w:space="0" w:color="auto"/>
            </w:tcBorders>
            <w:shd w:val="clear" w:color="auto" w:fill="auto"/>
            <w:vAlign w:val="center"/>
          </w:tcPr>
          <w:p w:rsidR="00C809E9" w:rsidRPr="00C809E9" w:rsidRDefault="00140CD1" w:rsidP="00C809E9">
            <w:pPr>
              <w:rPr>
                <w:rFonts w:ascii="Arial" w:eastAsia="Arial" w:hAnsi="Arial"/>
                <w:color w:val="000000"/>
                <w:sz w:val="24"/>
                <w:szCs w:val="24"/>
              </w:rPr>
            </w:pPr>
            <w:hyperlink r:id="rId8" w:history="1">
              <w:r w:rsidR="00C809E9" w:rsidRPr="00BC4167">
                <w:rPr>
                  <w:rFonts w:ascii="Arial" w:eastAsia="Arial" w:hAnsi="Arial"/>
                  <w:color w:val="000000"/>
                  <w:sz w:val="24"/>
                  <w:szCs w:val="24"/>
                </w:rPr>
                <w:t>means those suppliers to government listed at https://www.gov.uk/government/publications/strategic-suppliers.</w:t>
              </w:r>
            </w:hyperlink>
          </w:p>
        </w:tc>
      </w:tr>
      <w:tr w:rsidR="00C809E9" w:rsidTr="00C809E9">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C809E9" w:rsidRPr="00C809E9" w:rsidRDefault="00C809E9" w:rsidP="00C809E9">
            <w:pPr>
              <w:overflowPunct/>
              <w:autoSpaceDE/>
              <w:autoSpaceDN/>
              <w:adjustRightInd/>
              <w:textAlignment w:val="auto"/>
              <w:rPr>
                <w:rFonts w:ascii="Arial" w:eastAsia="Arial" w:hAnsi="Arial"/>
                <w:color w:val="000000"/>
                <w:sz w:val="24"/>
                <w:szCs w:val="24"/>
              </w:rPr>
            </w:pPr>
            <w:r w:rsidRPr="00C809E9">
              <w:rPr>
                <w:rFonts w:ascii="Arial" w:eastAsia="Arial" w:hAnsi="Arial"/>
                <w:color w:val="000000"/>
                <w:sz w:val="24"/>
                <w:szCs w:val="24"/>
              </w:rPr>
              <w:t>“Applicable Financial Indicators”</w:t>
            </w:r>
          </w:p>
        </w:tc>
        <w:tc>
          <w:tcPr>
            <w:tcW w:w="7450" w:type="dxa"/>
            <w:tcBorders>
              <w:top w:val="single" w:sz="4" w:space="0" w:color="auto"/>
              <w:left w:val="nil"/>
              <w:bottom w:val="single" w:sz="4" w:space="0" w:color="auto"/>
              <w:right w:val="single" w:sz="4" w:space="0" w:color="auto"/>
            </w:tcBorders>
            <w:shd w:val="clear" w:color="auto" w:fill="auto"/>
            <w:vAlign w:val="center"/>
          </w:tcPr>
          <w:p w:rsidR="00C809E9" w:rsidRPr="00C809E9" w:rsidRDefault="00C809E9" w:rsidP="00C809E9">
            <w:pPr>
              <w:rPr>
                <w:rFonts w:ascii="Arial" w:eastAsia="Arial" w:hAnsi="Arial"/>
                <w:color w:val="000000"/>
                <w:sz w:val="24"/>
                <w:szCs w:val="24"/>
              </w:rPr>
            </w:pPr>
            <w:r w:rsidRPr="00C809E9">
              <w:rPr>
                <w:rFonts w:ascii="Arial" w:eastAsia="Arial" w:hAnsi="Arial"/>
                <w:color w:val="000000"/>
                <w:sz w:val="24"/>
                <w:szCs w:val="24"/>
              </w:rPr>
              <w:t>means the financial indicators from Paragraph 5.1 of this Schedule which are to apply to the Monitored Suppliers as set out in Paragraph 5.2 of this Schedule;</w:t>
            </w:r>
          </w:p>
        </w:tc>
      </w:tr>
    </w:tbl>
    <w:p w:rsidR="007F5BB2" w:rsidRDefault="00C3484C">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lastRenderedPageBreak/>
        <w:t>The Parties shall comply with the provisions of this Schedule in relation to the assessment of the financial standing of the FDE Group and the consequences of a change to that financial standing.</w:t>
      </w:r>
    </w:p>
    <w:p w:rsidR="007F5BB2" w:rsidRDefault="00C3484C">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The terms of this Schedule shall survive: </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7F5BB2" w:rsidRDefault="007F5BB2">
      <w:pPr>
        <w:pBdr>
          <w:top w:val="nil"/>
          <w:left w:val="nil"/>
          <w:bottom w:val="nil"/>
          <w:right w:val="nil"/>
          <w:between w:val="nil"/>
        </w:pBdr>
        <w:tabs>
          <w:tab w:val="left" w:pos="1134"/>
        </w:tabs>
        <w:spacing w:before="120" w:after="120"/>
        <w:ind w:left="936" w:hanging="1004"/>
        <w:jc w:val="left"/>
        <w:rPr>
          <w:rFonts w:ascii="Arial Bold" w:eastAsia="Arial Bold" w:hAnsi="Arial Bold" w:cs="Arial Bold"/>
          <w:color w:val="000000"/>
          <w:sz w:val="24"/>
          <w:szCs w:val="24"/>
        </w:rPr>
      </w:pPr>
    </w:p>
    <w:p w:rsidR="007F5BB2" w:rsidRDefault="00C3484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7F5BB2" w:rsidRDefault="00C3484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each entity in the FDE Group by each of the Rating Agencies are as set out in Annex 2 to this Schedule; and</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lastRenderedPageBreak/>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a single report with separate sections for each of the FDE Group entities;</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key financial and other supporting information (including any accounts data that has been relied on) as separate annexes;</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performance.</w:t>
      </w:r>
    </w:p>
    <w:p w:rsidR="007F5BB2" w:rsidRDefault="00C3484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issuing a profits warning to a stock exchange or making any other public announcement, in each case about a material deterioration in its financial position or prospects;</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accounting and reporting, suspected fraud or any other impropriety of an FDE Group entity;</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material sums properly due under a specified invoice and not subject to a genuine dispute;</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rsidR="007F5BB2" w:rsidRDefault="00C3484C">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w:t>
      </w:r>
      <w:r>
        <w:rPr>
          <w:rFonts w:ascii="Arial" w:eastAsia="Arial" w:hAnsi="Arial"/>
          <w:color w:val="000000"/>
          <w:sz w:val="24"/>
          <w:szCs w:val="24"/>
        </w:rPr>
        <w:lastRenderedPageBreak/>
        <w:t xml:space="preserve">greater than £5m or obligations under a service contract with a total contract value greater than £5m; </w:t>
      </w:r>
    </w:p>
    <w:p w:rsidR="007F5BB2" w:rsidRDefault="00C3484C">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indebtedness;</w:t>
      </w:r>
    </w:p>
    <w:p w:rsidR="007F5BB2" w:rsidRDefault="00C3484C">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rsidR="007F5BB2" w:rsidRDefault="00C3484C">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rsidR="007F5BB2" w:rsidRDefault="00C3484C">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expressing a qualified opinion on, or including an emphasis of matter in, its opinion on the statutory accounts of that FDE entity;</w:t>
      </w:r>
    </w:p>
    <w:p w:rsidR="007F5BB2" w:rsidRDefault="00C3484C">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rsidR="007F5BB2" w:rsidRDefault="00C3484C">
      <w:pPr>
        <w:numPr>
          <w:ilvl w:val="2"/>
          <w:numId w:val="2"/>
        </w:numPr>
        <w:pBdr>
          <w:top w:val="nil"/>
          <w:left w:val="nil"/>
          <w:bottom w:val="nil"/>
          <w:right w:val="nil"/>
          <w:between w:val="nil"/>
        </w:pBdr>
        <w:tabs>
          <w:tab w:val="left" w:pos="1985"/>
        </w:tabs>
        <w:spacing w:before="120" w:after="120"/>
        <w:rPr>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rsidR="007F5BB2" w:rsidRDefault="00C3484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the Relevant Authority’s reasonable satisfaction that there is a valid reason for late or non-payment.</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w:t>
      </w:r>
      <w:r>
        <w:rPr>
          <w:rFonts w:ascii="Arial" w:eastAsia="Arial" w:hAnsi="Arial"/>
          <w:color w:val="000000"/>
          <w:sz w:val="24"/>
          <w:szCs w:val="24"/>
        </w:rPr>
        <w:lastRenderedPageBreak/>
        <w:t>Paragraph 4.3.1) that the Financial Distress Event could impact on the continued performance and delivery of the Deliverables in accordance with the Contract:</w:t>
      </w:r>
    </w:p>
    <w:p w:rsidR="007F5BB2" w:rsidRDefault="00C3484C">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7F5BB2" w:rsidRDefault="00C3484C">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rsidR="007F5BB2" w:rsidRDefault="00C3484C">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7F5BB2" w:rsidRDefault="00C3484C">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lastRenderedPageBreak/>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 without breaching a duty of confidentiality.</w:t>
      </w:r>
    </w:p>
    <w:p w:rsidR="007F5BB2" w:rsidRDefault="00C3484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Financial Indicators</w:t>
      </w:r>
    </w:p>
    <w:p w:rsidR="007F5BB2" w:rsidRDefault="00C3484C">
      <w:pPr>
        <w:rPr>
          <w:rFonts w:ascii="Arial" w:eastAsia="Arial" w:hAnsi="Arial"/>
          <w:sz w:val="24"/>
          <w:szCs w:val="24"/>
          <w:highlight w:val="yellow"/>
        </w:rPr>
      </w:pPr>
      <w:r>
        <w:rPr>
          <w:rFonts w:ascii="Arial" w:eastAsia="Arial" w:hAnsi="Arial"/>
          <w:sz w:val="24"/>
          <w:szCs w:val="24"/>
          <w:highlight w:val="yellow"/>
        </w:rPr>
        <w:t>[</w:t>
      </w:r>
      <w:r>
        <w:rPr>
          <w:rFonts w:ascii="Arial" w:eastAsia="Arial" w:hAnsi="Arial"/>
          <w:b/>
          <w:sz w:val="24"/>
          <w:szCs w:val="24"/>
          <w:highlight w:val="yellow"/>
        </w:rPr>
        <w:t>Buyer Guidance</w:t>
      </w:r>
      <w:r>
        <w:rPr>
          <w:rFonts w:ascii="Arial" w:eastAsia="Arial" w:hAnsi="Arial"/>
          <w:sz w:val="24"/>
          <w:szCs w:val="24"/>
          <w:highlight w:val="yellow"/>
        </w:rPr>
        <w:t xml:space="preserve">: The Financial Indicators set out in the table at paragraph 5.1 </w:t>
      </w:r>
      <w:proofErr w:type="gramStart"/>
      <w:r>
        <w:rPr>
          <w:rFonts w:ascii="Arial" w:eastAsia="Arial" w:hAnsi="Arial"/>
          <w:sz w:val="24"/>
          <w:szCs w:val="24"/>
          <w:highlight w:val="yellow"/>
        </w:rPr>
        <w:t>are  established</w:t>
      </w:r>
      <w:proofErr w:type="gramEnd"/>
      <w:r>
        <w:rPr>
          <w:rFonts w:ascii="Arial" w:eastAsia="Arial" w:hAnsi="Arial"/>
          <w:sz w:val="24"/>
          <w:szCs w:val="24"/>
          <w:highlight w:val="yellow"/>
        </w:rPr>
        <w:t xml:space="preserve">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w:t>
      </w:r>
      <w:proofErr w:type="gramStart"/>
      <w:r>
        <w:rPr>
          <w:rFonts w:ascii="Arial" w:eastAsia="Arial" w:hAnsi="Arial"/>
          <w:sz w:val="24"/>
          <w:szCs w:val="24"/>
          <w:highlight w:val="yellow"/>
        </w:rPr>
        <w:t>proceed.  ]</w:t>
      </w:r>
      <w:proofErr w:type="gramEnd"/>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7F5BB2">
        <w:tc>
          <w:tcPr>
            <w:tcW w:w="2253" w:type="dxa"/>
            <w:shd w:val="clear" w:color="auto" w:fill="D9D9D9"/>
            <w:vAlign w:val="center"/>
          </w:tcPr>
          <w:p w:rsidR="007F5BB2" w:rsidRDefault="00C3484C">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1977" w:type="dxa"/>
            <w:shd w:val="clear" w:color="auto" w:fill="D9D9D9"/>
            <w:vAlign w:val="center"/>
          </w:tcPr>
          <w:p w:rsidR="007F5BB2" w:rsidRDefault="00C3484C">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1697" w:type="dxa"/>
            <w:shd w:val="clear" w:color="auto" w:fill="D9D9D9"/>
            <w:vAlign w:val="center"/>
          </w:tcPr>
          <w:p w:rsidR="007F5BB2" w:rsidRDefault="00C3484C">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3089" w:type="dxa"/>
            <w:shd w:val="clear" w:color="auto" w:fill="D9D9D9"/>
            <w:vAlign w:val="center"/>
          </w:tcPr>
          <w:p w:rsidR="007F5BB2" w:rsidRDefault="00C3484C">
            <w:pPr>
              <w:pBdr>
                <w:top w:val="nil"/>
                <w:left w:val="nil"/>
                <w:bottom w:val="nil"/>
                <w:right w:val="nil"/>
                <w:between w:val="nil"/>
              </w:pBdr>
              <w:spacing w:before="100" w:after="200"/>
              <w:jc w:val="center"/>
              <w:rPr>
                <w:rFonts w:ascii="Arial" w:eastAsia="Arial" w:hAnsi="Arial"/>
                <w:b/>
                <w:color w:val="000000"/>
                <w:sz w:val="24"/>
                <w:szCs w:val="24"/>
              </w:rPr>
            </w:pPr>
            <w:bookmarkStart w:id="2" w:name="_heading=h.3dy6vkm" w:colFirst="0" w:colLast="0"/>
            <w:bookmarkEnd w:id="2"/>
            <w:r>
              <w:rPr>
                <w:rFonts w:ascii="Arial" w:eastAsia="Arial" w:hAnsi="Arial"/>
                <w:b/>
                <w:color w:val="000000"/>
                <w:sz w:val="24"/>
                <w:szCs w:val="24"/>
              </w:rPr>
              <w:t xml:space="preserve">Monitoring and Reporting Frequency </w:t>
            </w:r>
            <w:r>
              <w:rPr>
                <w:rFonts w:ascii="Arial" w:eastAsia="Arial" w:hAnsi="Arial"/>
                <w:b/>
                <w:color w:val="000000"/>
                <w:sz w:val="24"/>
                <w:szCs w:val="24"/>
                <w:highlight w:val="yellow"/>
              </w:rPr>
              <w:t>[if different from the default position set out in Paragraph 2.3.2)]</w:t>
            </w:r>
          </w:p>
        </w:tc>
      </w:tr>
      <w:tr w:rsidR="007F5BB2">
        <w:tc>
          <w:tcPr>
            <w:tcW w:w="2253" w:type="dxa"/>
            <w:vAlign w:val="center"/>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highlight w:val="yellow"/>
              </w:rPr>
            </w:pPr>
            <w:r>
              <w:rPr>
                <w:rFonts w:ascii="Arial" w:eastAsia="Arial" w:hAnsi="Arial"/>
                <w:b/>
                <w:color w:val="000000"/>
                <w:sz w:val="24"/>
                <w:szCs w:val="24"/>
                <w:highlight w:val="yellow"/>
              </w:rPr>
              <w:t>[Operating Margin]</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 xml:space="preserve">[The higher of (a) the Operating Margin for the most recent </w:t>
            </w:r>
            <w:proofErr w:type="gramStart"/>
            <w:r>
              <w:rPr>
                <w:rFonts w:ascii="Arial" w:eastAsia="Arial" w:hAnsi="Arial"/>
                <w:b/>
                <w:color w:val="000000"/>
                <w:sz w:val="24"/>
                <w:szCs w:val="24"/>
                <w:highlight w:val="yellow"/>
              </w:rPr>
              <w:t>12 month</w:t>
            </w:r>
            <w:proofErr w:type="gramEnd"/>
            <w:r>
              <w:rPr>
                <w:rFonts w:ascii="Arial" w:eastAsia="Arial" w:hAnsi="Arial"/>
                <w:b/>
                <w:color w:val="000000"/>
                <w:sz w:val="24"/>
                <w:szCs w:val="24"/>
                <w:highlight w:val="yellow"/>
              </w:rPr>
              <w:t xml:space="preserve"> period and (b) the average Operating Margin for the last two 12 month periods]</w:t>
            </w:r>
          </w:p>
        </w:tc>
        <w:tc>
          <w:tcPr>
            <w:tcW w:w="1977"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[Operating Margin = Operating Profit / Revenue]</w:t>
            </w:r>
          </w:p>
        </w:tc>
        <w:tc>
          <w:tcPr>
            <w:tcW w:w="1697"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highlight w:val="yellow"/>
              </w:rPr>
            </w:pPr>
            <w:r>
              <w:rPr>
                <w:rFonts w:ascii="Arial" w:eastAsia="Arial" w:hAnsi="Arial"/>
                <w:i/>
                <w:color w:val="000000"/>
                <w:sz w:val="24"/>
                <w:szCs w:val="24"/>
                <w:highlight w:val="yellow"/>
              </w:rPr>
              <w:t>[&gt; [</w:t>
            </w:r>
            <w:r>
              <w:rPr>
                <w:rFonts w:ascii="Arial" w:eastAsia="Arial" w:hAnsi="Arial"/>
                <w:i/>
                <w:sz w:val="24"/>
                <w:szCs w:val="24"/>
                <w:highlight w:val="yellow"/>
              </w:rPr>
              <w:t>7</w:t>
            </w:r>
            <w:r>
              <w:rPr>
                <w:rFonts w:ascii="Arial" w:eastAsia="Arial" w:hAnsi="Arial"/>
                <w:i/>
                <w:color w:val="000000"/>
                <w:sz w:val="24"/>
                <w:szCs w:val="24"/>
                <w:highlight w:val="yellow"/>
              </w:rPr>
              <w:t>%]]</w:t>
            </w:r>
          </w:p>
        </w:tc>
        <w:tc>
          <w:tcPr>
            <w:tcW w:w="3089"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[yearly / half yearly]</w:t>
            </w:r>
            <w:r>
              <w:rPr>
                <w:rFonts w:ascii="Arial" w:eastAsia="Arial" w:hAnsi="Arial"/>
                <w:i/>
                <w:color w:val="000000"/>
                <w:sz w:val="24"/>
                <w:szCs w:val="24"/>
              </w:rPr>
              <w:t xml:space="preserve"> in arrears within </w:t>
            </w:r>
            <w:r>
              <w:rPr>
                <w:rFonts w:ascii="Arial" w:eastAsia="Arial" w:hAnsi="Arial"/>
                <w:i/>
                <w:color w:val="000000"/>
                <w:sz w:val="24"/>
                <w:szCs w:val="24"/>
                <w:highlight w:val="yellow"/>
              </w:rPr>
              <w:t>[120 / 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[accounting reference date / half year end]</w:t>
            </w:r>
            <w:r>
              <w:rPr>
                <w:rFonts w:ascii="Arial" w:eastAsia="Arial" w:hAnsi="Arial"/>
                <w:i/>
                <w:color w:val="000000"/>
                <w:sz w:val="24"/>
                <w:szCs w:val="24"/>
              </w:rPr>
              <w:t xml:space="preserve"> based upon figures for the 12 months ending on the relevant </w:t>
            </w:r>
            <w:r>
              <w:rPr>
                <w:rFonts w:ascii="Arial" w:eastAsia="Arial" w:hAnsi="Arial"/>
                <w:i/>
                <w:color w:val="000000"/>
                <w:sz w:val="24"/>
                <w:szCs w:val="24"/>
                <w:highlight w:val="yellow"/>
              </w:rPr>
              <w:t>[accounting reference date / half year end]</w:t>
            </w:r>
          </w:p>
        </w:tc>
      </w:tr>
      <w:tr w:rsidR="007F5BB2">
        <w:tc>
          <w:tcPr>
            <w:tcW w:w="2253" w:type="dxa"/>
            <w:vAlign w:val="center"/>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7F5BB2" w:rsidRDefault="007F5BB2">
            <w:pPr>
              <w:pBdr>
                <w:top w:val="nil"/>
                <w:left w:val="nil"/>
                <w:bottom w:val="nil"/>
                <w:right w:val="nil"/>
                <w:between w:val="nil"/>
              </w:pBdr>
              <w:spacing w:before="100" w:after="200"/>
              <w:jc w:val="left"/>
              <w:rPr>
                <w:rFonts w:ascii="Arial" w:eastAsia="Arial" w:hAnsi="Arial"/>
                <w:b/>
                <w:color w:val="7030A0"/>
                <w:sz w:val="24"/>
                <w:szCs w:val="24"/>
                <w:highlight w:val="yellow"/>
              </w:rPr>
            </w:pPr>
          </w:p>
          <w:p w:rsidR="007F5BB2" w:rsidRDefault="007F5BB2">
            <w:pPr>
              <w:pBdr>
                <w:top w:val="nil"/>
                <w:left w:val="nil"/>
                <w:bottom w:val="nil"/>
                <w:right w:val="nil"/>
                <w:between w:val="nil"/>
              </w:pBdr>
              <w:spacing w:before="100" w:after="200"/>
              <w:jc w:val="left"/>
              <w:rPr>
                <w:rFonts w:ascii="Arial" w:eastAsia="Arial" w:hAnsi="Arial"/>
                <w:b/>
                <w:color w:val="7030A0"/>
                <w:sz w:val="24"/>
                <w:szCs w:val="24"/>
              </w:rPr>
            </w:pP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Debt to EBITDA Ratio]</w:t>
            </w:r>
          </w:p>
        </w:tc>
        <w:tc>
          <w:tcPr>
            <w:tcW w:w="1977" w:type="dxa"/>
            <w:vAlign w:val="center"/>
          </w:tcPr>
          <w:p w:rsidR="007F5BB2" w:rsidRDefault="007F5BB2">
            <w:pPr>
              <w:pBdr>
                <w:top w:val="nil"/>
                <w:left w:val="nil"/>
                <w:bottom w:val="nil"/>
                <w:right w:val="nil"/>
                <w:between w:val="nil"/>
              </w:pBdr>
              <w:spacing w:before="100" w:after="200"/>
              <w:jc w:val="center"/>
              <w:rPr>
                <w:rFonts w:ascii="Arial" w:eastAsia="Arial" w:hAnsi="Arial"/>
                <w:i/>
                <w:color w:val="7030A0"/>
                <w:sz w:val="24"/>
                <w:szCs w:val="24"/>
                <w:highlight w:val="yellow"/>
              </w:rPr>
            </w:pPr>
          </w:p>
          <w:p w:rsidR="007F5BB2" w:rsidRDefault="007F5BB2">
            <w:pPr>
              <w:pBdr>
                <w:top w:val="nil"/>
                <w:left w:val="nil"/>
                <w:bottom w:val="nil"/>
                <w:right w:val="nil"/>
                <w:between w:val="nil"/>
              </w:pBdr>
              <w:spacing w:before="100" w:after="200"/>
              <w:jc w:val="center"/>
              <w:rPr>
                <w:rFonts w:ascii="Arial" w:eastAsia="Arial" w:hAnsi="Arial"/>
                <w:i/>
                <w:color w:val="7030A0"/>
                <w:sz w:val="24"/>
                <w:szCs w:val="24"/>
              </w:rPr>
            </w:pPr>
          </w:p>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[Net Debt to EBITDA ratio = Net Debt / EBITDA]</w:t>
            </w:r>
          </w:p>
        </w:tc>
        <w:tc>
          <w:tcPr>
            <w:tcW w:w="1697" w:type="dxa"/>
            <w:vAlign w:val="center"/>
          </w:tcPr>
          <w:p w:rsidR="007F5BB2" w:rsidRDefault="00C3484C">
            <w:pPr>
              <w:pBdr>
                <w:top w:val="nil"/>
                <w:left w:val="nil"/>
                <w:bottom w:val="nil"/>
                <w:right w:val="nil"/>
                <w:between w:val="nil"/>
              </w:pBdr>
              <w:spacing w:before="100" w:after="200"/>
              <w:jc w:val="center"/>
              <w:rPr>
                <w:rFonts w:ascii="Arial" w:eastAsia="Arial" w:hAnsi="Arial"/>
                <w:i/>
                <w:color w:val="7030A0"/>
                <w:sz w:val="24"/>
                <w:szCs w:val="24"/>
                <w:highlight w:val="yellow"/>
              </w:rPr>
            </w:pPr>
            <w:r>
              <w:rPr>
                <w:rFonts w:ascii="Arial" w:eastAsia="Arial" w:hAnsi="Arial"/>
                <w:i/>
                <w:color w:val="7030A0"/>
                <w:sz w:val="24"/>
                <w:szCs w:val="24"/>
                <w:highlight w:val="yellow"/>
              </w:rPr>
              <w:t>]</w:t>
            </w:r>
          </w:p>
          <w:p w:rsidR="007F5BB2" w:rsidRDefault="007F5BB2">
            <w:pPr>
              <w:pBdr>
                <w:top w:val="nil"/>
                <w:left w:val="nil"/>
                <w:bottom w:val="nil"/>
                <w:right w:val="nil"/>
                <w:between w:val="nil"/>
              </w:pBdr>
              <w:spacing w:before="100" w:after="200"/>
              <w:jc w:val="center"/>
              <w:rPr>
                <w:rFonts w:ascii="Arial" w:eastAsia="Arial" w:hAnsi="Arial"/>
                <w:i/>
                <w:color w:val="000000"/>
                <w:sz w:val="24"/>
                <w:szCs w:val="24"/>
              </w:rPr>
            </w:pPr>
          </w:p>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[&lt; [</w:t>
            </w:r>
            <w:r>
              <w:rPr>
                <w:rFonts w:ascii="Arial" w:eastAsia="Arial" w:hAnsi="Arial"/>
                <w:i/>
                <w:sz w:val="24"/>
                <w:szCs w:val="24"/>
                <w:highlight w:val="yellow"/>
              </w:rPr>
              <w:t>3.5</w:t>
            </w:r>
            <w:r>
              <w:rPr>
                <w:rFonts w:ascii="Arial" w:eastAsia="Arial" w:hAnsi="Arial"/>
                <w:i/>
                <w:color w:val="000000"/>
                <w:sz w:val="24"/>
                <w:szCs w:val="24"/>
                <w:highlight w:val="yellow"/>
              </w:rPr>
              <w:t>]]</w:t>
            </w:r>
            <w:r>
              <w:rPr>
                <w:rFonts w:ascii="Arial" w:eastAsia="Arial" w:hAnsi="Arial"/>
                <w:i/>
                <w:color w:val="000000"/>
                <w:sz w:val="24"/>
                <w:szCs w:val="24"/>
              </w:rPr>
              <w:t xml:space="preserve"> times</w:t>
            </w:r>
          </w:p>
        </w:tc>
        <w:tc>
          <w:tcPr>
            <w:tcW w:w="3089"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7030A0"/>
                <w:sz w:val="24"/>
                <w:szCs w:val="24"/>
                <w:highlight w:val="yellow"/>
              </w:rPr>
              <w:t>/ half yearly]</w:t>
            </w:r>
            <w:r>
              <w:rPr>
                <w:rFonts w:ascii="Arial" w:eastAsia="Arial" w:hAnsi="Arial"/>
                <w:i/>
                <w:color w:val="7030A0"/>
                <w:sz w:val="24"/>
                <w:szCs w:val="24"/>
              </w:rPr>
              <w:t xml:space="preserve"> </w:t>
            </w:r>
            <w:r>
              <w:rPr>
                <w:rFonts w:ascii="Arial" w:eastAsia="Arial" w:hAnsi="Arial"/>
                <w:i/>
                <w:color w:val="000000"/>
                <w:sz w:val="24"/>
                <w:szCs w:val="24"/>
              </w:rPr>
              <w:t xml:space="preserve">in arrears within </w:t>
            </w:r>
            <w:r>
              <w:rPr>
                <w:rFonts w:ascii="Arial" w:eastAsia="Arial" w:hAnsi="Arial"/>
                <w:i/>
                <w:color w:val="7030A0"/>
                <w:sz w:val="24"/>
                <w:szCs w:val="24"/>
                <w:highlight w:val="yellow"/>
              </w:rPr>
              <w:t xml:space="preserve">[120 </w:t>
            </w:r>
            <w:r>
              <w:rPr>
                <w:rFonts w:ascii="Arial" w:eastAsia="Arial" w:hAnsi="Arial"/>
                <w:i/>
                <w:color w:val="000000"/>
                <w:sz w:val="24"/>
                <w:szCs w:val="24"/>
                <w:highlight w:val="yellow"/>
              </w:rPr>
              <w:t>/ 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 xml:space="preserve">[accounting reference date </w:t>
            </w:r>
            <w:r>
              <w:rPr>
                <w:rFonts w:ascii="Arial" w:eastAsia="Arial" w:hAnsi="Arial"/>
                <w:i/>
                <w:color w:val="7030A0"/>
                <w:sz w:val="24"/>
                <w:szCs w:val="24"/>
                <w:highlight w:val="yellow"/>
              </w:rPr>
              <w:t>/ half year end]</w:t>
            </w:r>
            <w:r>
              <w:rPr>
                <w:rFonts w:ascii="Arial" w:eastAsia="Arial" w:hAnsi="Arial"/>
                <w:i/>
                <w:color w:val="000000"/>
                <w:sz w:val="24"/>
                <w:szCs w:val="24"/>
              </w:rPr>
              <w:t xml:space="preserve"> based upon </w:t>
            </w:r>
            <w:r>
              <w:rPr>
                <w:rFonts w:ascii="Arial" w:eastAsia="Arial" w:hAnsi="Arial"/>
                <w:i/>
                <w:color w:val="7030A0"/>
                <w:sz w:val="24"/>
                <w:szCs w:val="24"/>
                <w:highlight w:val="yellow"/>
              </w:rPr>
              <w:t>[ /</w:t>
            </w:r>
            <w:r>
              <w:rPr>
                <w:rFonts w:ascii="Arial" w:eastAsia="Arial" w:hAnsi="Arial"/>
                <w:i/>
                <w:color w:val="000000"/>
                <w:sz w:val="24"/>
                <w:szCs w:val="24"/>
                <w:highlight w:val="yellow"/>
              </w:rPr>
              <w:t xml:space="preserve"> EBITDA]</w:t>
            </w:r>
            <w:r>
              <w:rPr>
                <w:rFonts w:ascii="Arial" w:eastAsia="Arial" w:hAnsi="Arial"/>
                <w:i/>
                <w:color w:val="000000"/>
                <w:sz w:val="24"/>
                <w:szCs w:val="24"/>
              </w:rPr>
              <w:t xml:space="preserve"> for the 12 months ending on, and Net Debt at, the relevant </w:t>
            </w:r>
            <w:r>
              <w:rPr>
                <w:rFonts w:ascii="Arial" w:eastAsia="Arial" w:hAnsi="Arial"/>
                <w:i/>
                <w:color w:val="000000"/>
                <w:sz w:val="24"/>
                <w:szCs w:val="24"/>
                <w:highlight w:val="yellow"/>
              </w:rPr>
              <w:lastRenderedPageBreak/>
              <w:t xml:space="preserve">[accounting reference date </w:t>
            </w:r>
            <w:r>
              <w:rPr>
                <w:rFonts w:ascii="Arial" w:eastAsia="Arial" w:hAnsi="Arial"/>
                <w:i/>
                <w:color w:val="7030A0"/>
                <w:sz w:val="24"/>
                <w:szCs w:val="24"/>
                <w:highlight w:val="yellow"/>
              </w:rPr>
              <w:t>/ half year end]</w:t>
            </w:r>
          </w:p>
        </w:tc>
      </w:tr>
      <w:tr w:rsidR="007F5BB2">
        <w:tc>
          <w:tcPr>
            <w:tcW w:w="2253" w:type="dxa"/>
            <w:vAlign w:val="center"/>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Debt + Net Pension Deficit to EBITDA ratio]</w:t>
            </w:r>
          </w:p>
        </w:tc>
        <w:tc>
          <w:tcPr>
            <w:tcW w:w="1977"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[Net Debt + Net Pension Deficit to EBITDA Ratio = (Net Debt + Net Pension Deficit) / EBITDA]</w:t>
            </w:r>
          </w:p>
        </w:tc>
        <w:tc>
          <w:tcPr>
            <w:tcW w:w="1697"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[&lt; [</w:t>
            </w:r>
            <w:r>
              <w:rPr>
                <w:rFonts w:ascii="Arial" w:eastAsia="Arial" w:hAnsi="Arial"/>
                <w:i/>
                <w:sz w:val="24"/>
                <w:szCs w:val="24"/>
                <w:highlight w:val="yellow"/>
              </w:rPr>
              <w:t>5</w:t>
            </w:r>
            <w:r>
              <w:rPr>
                <w:rFonts w:ascii="Arial" w:eastAsia="Arial" w:hAnsi="Arial"/>
                <w:i/>
                <w:color w:val="000000"/>
                <w:sz w:val="24"/>
                <w:szCs w:val="24"/>
                <w:highlight w:val="yellow"/>
              </w:rPr>
              <w:t>]]</w:t>
            </w:r>
            <w:r>
              <w:rPr>
                <w:rFonts w:ascii="Arial" w:eastAsia="Arial" w:hAnsi="Arial"/>
                <w:i/>
                <w:color w:val="000000"/>
                <w:sz w:val="24"/>
                <w:szCs w:val="24"/>
              </w:rPr>
              <w:t xml:space="preserve"> times</w:t>
            </w:r>
          </w:p>
        </w:tc>
        <w:tc>
          <w:tcPr>
            <w:tcW w:w="3089"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F79646"/>
                <w:sz w:val="24"/>
                <w:szCs w:val="24"/>
              </w:rPr>
              <w:t xml:space="preserve">90 </w:t>
            </w:r>
            <w:r>
              <w:rPr>
                <w:rFonts w:ascii="Arial" w:eastAsia="Arial" w:hAnsi="Arial"/>
                <w:i/>
                <w:color w:val="000000"/>
                <w:sz w:val="24"/>
                <w:szCs w:val="24"/>
              </w:rPr>
              <w:t>days of each accounting reference date based upon EBITDA for the 12 months ending on, and the Net Debt and Net Pension Deficit at, the relevant accounting reference date</w:t>
            </w:r>
          </w:p>
        </w:tc>
      </w:tr>
      <w:tr w:rsidR="007F5BB2">
        <w:tc>
          <w:tcPr>
            <w:tcW w:w="2253" w:type="dxa"/>
            <w:vAlign w:val="center"/>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Interest Paid Cover]</w:t>
            </w:r>
          </w:p>
        </w:tc>
        <w:tc>
          <w:tcPr>
            <w:tcW w:w="1977"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[Net Interest Paid Cover = Earnings Before Interest and Tax / Net Interest Paid]</w:t>
            </w:r>
          </w:p>
        </w:tc>
        <w:tc>
          <w:tcPr>
            <w:tcW w:w="1697"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[&gt; [</w:t>
            </w:r>
            <w:r>
              <w:rPr>
                <w:rFonts w:ascii="Arial" w:eastAsia="Arial" w:hAnsi="Arial"/>
                <w:i/>
                <w:sz w:val="24"/>
                <w:szCs w:val="24"/>
                <w:highlight w:val="yellow"/>
              </w:rPr>
              <w:t>4.5</w:t>
            </w:r>
            <w:r>
              <w:rPr>
                <w:rFonts w:ascii="Arial" w:eastAsia="Arial" w:hAnsi="Arial"/>
                <w:i/>
                <w:color w:val="000000"/>
                <w:sz w:val="24"/>
                <w:szCs w:val="24"/>
                <w:highlight w:val="yellow"/>
              </w:rPr>
              <w:t>]]</w:t>
            </w:r>
            <w:r>
              <w:rPr>
                <w:rFonts w:ascii="Arial" w:eastAsia="Arial" w:hAnsi="Arial"/>
                <w:i/>
                <w:color w:val="000000"/>
                <w:sz w:val="24"/>
                <w:szCs w:val="24"/>
              </w:rPr>
              <w:t xml:space="preserve"> times</w:t>
            </w:r>
          </w:p>
        </w:tc>
        <w:tc>
          <w:tcPr>
            <w:tcW w:w="3089"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8064A2"/>
                <w:sz w:val="24"/>
                <w:szCs w:val="24"/>
                <w:highlight w:val="yellow"/>
              </w:rPr>
              <w:t>/ half yearly]</w:t>
            </w:r>
            <w:r>
              <w:rPr>
                <w:rFonts w:ascii="Arial" w:eastAsia="Arial" w:hAnsi="Arial"/>
                <w:i/>
                <w:color w:val="8064A2"/>
                <w:sz w:val="24"/>
                <w:szCs w:val="24"/>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 xml:space="preserve">120 / </w:t>
            </w:r>
            <w:r>
              <w:rPr>
                <w:rFonts w:ascii="Arial" w:eastAsia="Arial" w:hAnsi="Arial"/>
                <w:i/>
                <w:color w:val="000000"/>
                <w:sz w:val="24"/>
                <w:szCs w:val="24"/>
                <w:highlight w:val="yellow"/>
              </w:rPr>
              <w:t>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w:t>
            </w:r>
            <w:r>
              <w:rPr>
                <w:rFonts w:ascii="Arial" w:eastAsia="Arial" w:hAnsi="Arial"/>
                <w:i/>
                <w:color w:val="000000"/>
                <w:sz w:val="24"/>
                <w:szCs w:val="24"/>
              </w:rPr>
              <w:t xml:space="preserve"> based upon figures for the 12 months ending on the relevant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w:t>
            </w:r>
          </w:p>
        </w:tc>
      </w:tr>
      <w:tr w:rsidR="007F5BB2">
        <w:tc>
          <w:tcPr>
            <w:tcW w:w="2253" w:type="dxa"/>
            <w:vAlign w:val="center"/>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[Acid Ratio]</w:t>
            </w:r>
          </w:p>
        </w:tc>
        <w:tc>
          <w:tcPr>
            <w:tcW w:w="1977"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[Acid Ratio = (Current Assets – Inventories) / Current Liabilities]</w:t>
            </w:r>
          </w:p>
        </w:tc>
        <w:tc>
          <w:tcPr>
            <w:tcW w:w="1697"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[&gt; [</w:t>
            </w:r>
            <w:r>
              <w:rPr>
                <w:rFonts w:ascii="Arial" w:eastAsia="Arial" w:hAnsi="Arial"/>
                <w:i/>
                <w:sz w:val="24"/>
                <w:szCs w:val="24"/>
                <w:highlight w:val="yellow"/>
              </w:rPr>
              <w:t>1.2</w:t>
            </w:r>
            <w:r>
              <w:rPr>
                <w:rFonts w:ascii="Arial" w:eastAsia="Arial" w:hAnsi="Arial"/>
                <w:i/>
                <w:color w:val="000000"/>
                <w:sz w:val="24"/>
                <w:szCs w:val="24"/>
                <w:highlight w:val="yellow"/>
              </w:rPr>
              <w:t xml:space="preserve">]] </w:t>
            </w:r>
            <w:r>
              <w:rPr>
                <w:rFonts w:ascii="Arial" w:eastAsia="Arial" w:hAnsi="Arial"/>
                <w:i/>
                <w:color w:val="000000"/>
                <w:sz w:val="24"/>
                <w:szCs w:val="24"/>
              </w:rPr>
              <w:t>times</w:t>
            </w:r>
          </w:p>
        </w:tc>
        <w:tc>
          <w:tcPr>
            <w:tcW w:w="3089"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8064A2"/>
                <w:sz w:val="24"/>
                <w:szCs w:val="24"/>
                <w:highlight w:val="yellow"/>
              </w:rPr>
              <w:t>/ half yearly</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120 /</w:t>
            </w:r>
            <w:r>
              <w:rPr>
                <w:rFonts w:ascii="Arial" w:eastAsia="Arial" w:hAnsi="Arial"/>
                <w:i/>
                <w:color w:val="000000"/>
                <w:sz w:val="24"/>
                <w:szCs w:val="24"/>
                <w:highlight w:val="yellow"/>
              </w:rPr>
              <w:t xml:space="preserve">90] </w:t>
            </w:r>
            <w:r>
              <w:rPr>
                <w:rFonts w:ascii="Arial" w:eastAsia="Arial" w:hAnsi="Arial"/>
                <w:i/>
                <w:color w:val="000000"/>
                <w:sz w:val="24"/>
                <w:szCs w:val="24"/>
              </w:rPr>
              <w:t xml:space="preserve">days of each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based upon figures at the relevant </w:t>
            </w:r>
            <w:r>
              <w:rPr>
                <w:rFonts w:ascii="Arial" w:eastAsia="Arial" w:hAnsi="Arial"/>
                <w:i/>
                <w:color w:val="000000"/>
                <w:sz w:val="24"/>
                <w:szCs w:val="24"/>
                <w:highlight w:val="yellow"/>
              </w:rPr>
              <w:t>[accounting reference date</w:t>
            </w:r>
            <w:r>
              <w:rPr>
                <w:rFonts w:ascii="Arial" w:eastAsia="Arial" w:hAnsi="Arial"/>
                <w:i/>
                <w:color w:val="8064A2"/>
                <w:sz w:val="24"/>
                <w:szCs w:val="24"/>
                <w:highlight w:val="yellow"/>
              </w:rPr>
              <w:t xml:space="preserve"> / half year end</w:t>
            </w:r>
            <w:r>
              <w:rPr>
                <w:rFonts w:ascii="Arial" w:eastAsia="Arial" w:hAnsi="Arial"/>
                <w:i/>
                <w:color w:val="000000"/>
                <w:sz w:val="24"/>
                <w:szCs w:val="24"/>
                <w:highlight w:val="yellow"/>
              </w:rPr>
              <w:t>]</w:t>
            </w:r>
          </w:p>
        </w:tc>
      </w:tr>
      <w:tr w:rsidR="007F5BB2">
        <w:tc>
          <w:tcPr>
            <w:tcW w:w="2253" w:type="dxa"/>
            <w:vAlign w:val="center"/>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[Net Asset value]</w:t>
            </w:r>
          </w:p>
        </w:tc>
        <w:tc>
          <w:tcPr>
            <w:tcW w:w="1977"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[Net Asset Value = Net Assets]</w:t>
            </w:r>
          </w:p>
        </w:tc>
        <w:tc>
          <w:tcPr>
            <w:tcW w:w="1697"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[&gt; £0]</w:t>
            </w:r>
          </w:p>
        </w:tc>
        <w:tc>
          <w:tcPr>
            <w:tcW w:w="3089"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8064A2"/>
                <w:sz w:val="24"/>
                <w:szCs w:val="24"/>
                <w:highlight w:val="yellow"/>
              </w:rPr>
              <w:t>/ half yearly</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120 /</w:t>
            </w:r>
            <w:r>
              <w:rPr>
                <w:rFonts w:ascii="Arial" w:eastAsia="Arial" w:hAnsi="Arial"/>
                <w:i/>
                <w:color w:val="000000"/>
                <w:sz w:val="24"/>
                <w:szCs w:val="24"/>
                <w:highlight w:val="yellow"/>
              </w:rPr>
              <w:t xml:space="preserve">90] </w:t>
            </w:r>
            <w:r>
              <w:rPr>
                <w:rFonts w:ascii="Arial" w:eastAsia="Arial" w:hAnsi="Arial"/>
                <w:i/>
                <w:color w:val="000000"/>
                <w:sz w:val="24"/>
                <w:szCs w:val="24"/>
              </w:rPr>
              <w:t xml:space="preserve">days of each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based upon figures at the relevant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w:t>
            </w:r>
          </w:p>
        </w:tc>
      </w:tr>
      <w:tr w:rsidR="007F5BB2">
        <w:tc>
          <w:tcPr>
            <w:tcW w:w="2253" w:type="dxa"/>
            <w:vAlign w:val="center"/>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highlight w:val="yellow"/>
              </w:rPr>
              <w:t>[Group Exposure Ratio]</w:t>
            </w:r>
          </w:p>
        </w:tc>
        <w:tc>
          <w:tcPr>
            <w:tcW w:w="1977"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[Group Exposure / Gross Assets]</w:t>
            </w:r>
          </w:p>
        </w:tc>
        <w:tc>
          <w:tcPr>
            <w:tcW w:w="1697"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highlight w:val="yellow"/>
              </w:rPr>
              <w:t xml:space="preserve">[&lt; </w:t>
            </w:r>
            <w:r>
              <w:rPr>
                <w:rFonts w:ascii="Arial" w:eastAsia="Arial" w:hAnsi="Arial"/>
                <w:i/>
                <w:sz w:val="24"/>
                <w:szCs w:val="24"/>
                <w:highlight w:val="yellow"/>
              </w:rPr>
              <w:t>50</w:t>
            </w:r>
            <w:r>
              <w:rPr>
                <w:rFonts w:ascii="Arial" w:eastAsia="Arial" w:hAnsi="Arial"/>
                <w:i/>
                <w:color w:val="000000"/>
                <w:sz w:val="24"/>
                <w:szCs w:val="24"/>
                <w:highlight w:val="yellow"/>
              </w:rPr>
              <w:t>%</w:t>
            </w:r>
          </w:p>
        </w:tc>
        <w:tc>
          <w:tcPr>
            <w:tcW w:w="3089" w:type="dxa"/>
            <w:vAlign w:val="center"/>
          </w:tcPr>
          <w:p w:rsidR="007F5BB2" w:rsidRDefault="00C3484C">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90 days of each accounting reference date based upon figures at the </w:t>
            </w:r>
            <w:r>
              <w:rPr>
                <w:rFonts w:ascii="Arial" w:eastAsia="Arial" w:hAnsi="Arial"/>
                <w:i/>
                <w:color w:val="000000"/>
                <w:sz w:val="24"/>
                <w:szCs w:val="24"/>
              </w:rPr>
              <w:lastRenderedPageBreak/>
              <w:t>relevant accounting reference date</w:t>
            </w:r>
          </w:p>
        </w:tc>
      </w:tr>
    </w:tbl>
    <w:p w:rsidR="007F5BB2" w:rsidRDefault="00C3484C">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lastRenderedPageBreak/>
        <w:t>Key: 1 – see Annex 3 to this Schedule which sets out the calculation methodology to be used in the calculation of each financial indicator.</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color w:val="000000"/>
        </w:rPr>
        <w:t xml:space="preserve"> </w:t>
      </w:r>
    </w:p>
    <w:p w:rsidR="007F5BB2" w:rsidRDefault="00C3484C">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r>
        <w:rPr>
          <w:rFonts w:ascii="Arial" w:eastAsia="Arial" w:hAnsi="Arial"/>
          <w:color w:val="000000"/>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a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7F5BB2">
        <w:tc>
          <w:tcPr>
            <w:tcW w:w="4073" w:type="dxa"/>
            <w:shd w:val="clear" w:color="auto" w:fill="D9D9D9"/>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4223" w:type="dxa"/>
            <w:shd w:val="clear" w:color="auto" w:fill="D9D9D9"/>
          </w:tcPr>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bookmarkStart w:id="3" w:name="_heading=h.1ci93xb" w:colFirst="0" w:colLast="0"/>
            <w:bookmarkEnd w:id="3"/>
            <w:r>
              <w:rPr>
                <w:rFonts w:ascii="Arial" w:eastAsia="Arial" w:hAnsi="Arial"/>
                <w:color w:val="000000"/>
                <w:sz w:val="24"/>
                <w:szCs w:val="24"/>
              </w:rPr>
              <w:t>(these are the Financial Indicators from the table in Paragraph 5.1 which are to apply to the Monitored Suppliers)</w:t>
            </w:r>
          </w:p>
        </w:tc>
      </w:tr>
      <w:tr w:rsidR="007F5BB2">
        <w:tc>
          <w:tcPr>
            <w:tcW w:w="4073" w:type="dxa"/>
          </w:tcPr>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 xml:space="preserve">[Entity 1 </w:t>
            </w:r>
            <w:proofErr w:type="spellStart"/>
            <w:r>
              <w:rPr>
                <w:rFonts w:ascii="Arial" w:eastAsia="Arial" w:hAnsi="Arial"/>
                <w:color w:val="000000"/>
                <w:sz w:val="24"/>
                <w:szCs w:val="24"/>
                <w:highlight w:val="yellow"/>
              </w:rPr>
              <w:t>e.g</w:t>
            </w:r>
            <w:proofErr w:type="spellEnd"/>
            <w:r>
              <w:rPr>
                <w:rFonts w:ascii="Arial" w:eastAsia="Arial" w:hAnsi="Arial"/>
                <w:color w:val="000000"/>
                <w:sz w:val="24"/>
                <w:szCs w:val="24"/>
                <w:highlight w:val="yellow"/>
              </w:rPr>
              <w:t xml:space="preserve"> Group Member, Sub-contractor, Relevant Parent Company etc.] </w:t>
            </w:r>
          </w:p>
        </w:tc>
        <w:tc>
          <w:tcPr>
            <w:tcW w:w="4223" w:type="dxa"/>
          </w:tcPr>
          <w:p w:rsidR="007F5BB2" w:rsidRDefault="00C3484C">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7F5BB2" w:rsidRDefault="00C3484C">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[2 – </w:t>
            </w:r>
            <w:proofErr w:type="gramStart"/>
            <w:r>
              <w:rPr>
                <w:rFonts w:ascii="Arial" w:eastAsia="Arial" w:hAnsi="Arial"/>
                <w:color w:val="000000"/>
                <w:sz w:val="24"/>
                <w:szCs w:val="24"/>
                <w:highlight w:val="yellow"/>
              </w:rPr>
              <w:t>etc..</w:t>
            </w:r>
            <w:proofErr w:type="gramEnd"/>
            <w:r>
              <w:rPr>
                <w:rFonts w:ascii="Arial" w:eastAsia="Arial" w:hAnsi="Arial"/>
                <w:color w:val="000000"/>
                <w:sz w:val="24"/>
                <w:szCs w:val="24"/>
                <w:highlight w:val="yellow"/>
              </w:rPr>
              <w:t>]</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[3][4][5][6][7][</w:t>
            </w:r>
            <w:proofErr w:type="gramStart"/>
            <w:r>
              <w:rPr>
                <w:rFonts w:ascii="Arial" w:eastAsia="Arial" w:hAnsi="Arial"/>
                <w:color w:val="000000"/>
                <w:sz w:val="24"/>
                <w:szCs w:val="24"/>
                <w:highlight w:val="yellow"/>
              </w:rPr>
              <w:t>8][</w:t>
            </w:r>
            <w:proofErr w:type="gramEnd"/>
            <w:r>
              <w:rPr>
                <w:rFonts w:ascii="Arial" w:eastAsia="Arial" w:hAnsi="Arial"/>
                <w:color w:val="000000"/>
                <w:sz w:val="24"/>
                <w:szCs w:val="24"/>
                <w:highlight w:val="yellow"/>
              </w:rPr>
              <w:t>etc..]</w:t>
            </w:r>
          </w:p>
        </w:tc>
      </w:tr>
      <w:tr w:rsidR="007F5BB2">
        <w:tc>
          <w:tcPr>
            <w:tcW w:w="4073" w:type="dxa"/>
          </w:tcPr>
          <w:p w:rsidR="007F5BB2" w:rsidRDefault="00C3484C">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 xml:space="preserve">[Entity 2 </w:t>
            </w:r>
            <w:proofErr w:type="spellStart"/>
            <w:r>
              <w:rPr>
                <w:rFonts w:ascii="Arial" w:eastAsia="Arial" w:hAnsi="Arial"/>
                <w:color w:val="000000"/>
                <w:sz w:val="24"/>
                <w:szCs w:val="24"/>
                <w:highlight w:val="yellow"/>
              </w:rPr>
              <w:t>e.g</w:t>
            </w:r>
            <w:proofErr w:type="spellEnd"/>
            <w:r>
              <w:rPr>
                <w:rFonts w:ascii="Arial" w:eastAsia="Arial" w:hAnsi="Arial"/>
                <w:color w:val="000000"/>
                <w:sz w:val="24"/>
                <w:szCs w:val="24"/>
                <w:highlight w:val="yellow"/>
              </w:rPr>
              <w:t xml:space="preserve"> Group Member, Sub-contractor, Relevant Parent Company etc.]</w:t>
            </w:r>
          </w:p>
        </w:tc>
        <w:tc>
          <w:tcPr>
            <w:tcW w:w="4223" w:type="dxa"/>
          </w:tcPr>
          <w:p w:rsidR="007F5BB2" w:rsidRDefault="00C3484C">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7F5BB2" w:rsidRDefault="00C3484C">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7F5BB2" w:rsidRDefault="00C3484C">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[3][4][5][6][7][</w:t>
            </w:r>
            <w:proofErr w:type="gramStart"/>
            <w:r>
              <w:rPr>
                <w:rFonts w:ascii="Arial" w:eastAsia="Arial" w:hAnsi="Arial"/>
                <w:color w:val="000000"/>
                <w:sz w:val="24"/>
                <w:szCs w:val="24"/>
                <w:highlight w:val="yellow"/>
              </w:rPr>
              <w:t>8][</w:t>
            </w:r>
            <w:proofErr w:type="gramEnd"/>
            <w:r>
              <w:rPr>
                <w:rFonts w:ascii="Arial" w:eastAsia="Arial" w:hAnsi="Arial"/>
                <w:color w:val="000000"/>
                <w:sz w:val="24"/>
                <w:szCs w:val="24"/>
                <w:highlight w:val="yellow"/>
              </w:rPr>
              <w:t>etc..]</w:t>
            </w:r>
          </w:p>
        </w:tc>
      </w:tr>
      <w:tr w:rsidR="007F5BB2">
        <w:tc>
          <w:tcPr>
            <w:tcW w:w="4073" w:type="dxa"/>
          </w:tcPr>
          <w:p w:rsidR="007F5BB2" w:rsidRDefault="00C3484C">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c>
          <w:tcPr>
            <w:tcW w:w="4223" w:type="dxa"/>
          </w:tcPr>
          <w:p w:rsidR="007F5BB2" w:rsidRDefault="00C3484C">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r>
    </w:tbl>
    <w:p w:rsidR="007F5BB2" w:rsidRDefault="007F5BB2">
      <w:pPr>
        <w:pBdr>
          <w:top w:val="nil"/>
          <w:left w:val="nil"/>
          <w:bottom w:val="nil"/>
          <w:right w:val="nil"/>
          <w:between w:val="nil"/>
        </w:pBdr>
        <w:tabs>
          <w:tab w:val="left" w:pos="1134"/>
        </w:tabs>
        <w:spacing w:before="120" w:after="120"/>
        <w:ind w:left="360" w:hanging="1004"/>
        <w:jc w:val="left"/>
        <w:rPr>
          <w:color w:val="000000"/>
        </w:rPr>
      </w:pPr>
    </w:p>
    <w:p w:rsidR="007F5BB2" w:rsidRDefault="00C3484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Paragraphs 4.3 to 4.5; and/or</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4.6.3,</w:t>
      </w:r>
    </w:p>
    <w:p w:rsidR="007F5BB2" w:rsidRDefault="00C3484C">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 10.4.1 of the Core Terms applies and Clauses 10.6.1 and 10.6.2 of the Core Terms shall apply accordingly.</w:t>
      </w:r>
    </w:p>
    <w:p w:rsidR="007F5BB2" w:rsidRDefault="00C3484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Primacy of Credit Ratings</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rsidR="007F5BB2" w:rsidRDefault="00C3484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highlight w:val="yellow"/>
        </w:rPr>
        <w:t>If the Contract has been specified as a Critical Service Contract under Paragraph 1.1 of Call-Off Schedule 24 (Corporate Resolution Planning)</w:t>
      </w:r>
      <w:r>
        <w:rPr>
          <w:rFonts w:ascii="Arial" w:eastAsia="Arial" w:hAnsi="Arial"/>
          <w:color w:val="000000"/>
          <w:sz w:val="24"/>
          <w:szCs w:val="24"/>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rsidR="007F5BB2" w:rsidRDefault="00C3484C">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of any matters which have occurred or are subsisting that could reasonably be expected to cause a Financial Distress Event.</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rsidR="007F5BB2" w:rsidRDefault="00C3484C">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7F5BB2" w:rsidRDefault="007F5BB2">
      <w:pPr>
        <w:pBdr>
          <w:top w:val="nil"/>
          <w:left w:val="nil"/>
          <w:bottom w:val="nil"/>
          <w:right w:val="nil"/>
          <w:between w:val="nil"/>
        </w:pBdr>
        <w:tabs>
          <w:tab w:val="left" w:pos="142"/>
        </w:tabs>
        <w:spacing w:before="120"/>
        <w:ind w:left="360" w:hanging="360"/>
        <w:rPr>
          <w:b/>
          <w:smallCaps/>
          <w:color w:val="000000"/>
        </w:rPr>
      </w:pPr>
    </w:p>
    <w:p w:rsidR="007F5BB2" w:rsidRDefault="00C3484C">
      <w:pPr>
        <w:spacing w:after="200" w:line="276" w:lineRule="auto"/>
        <w:jc w:val="left"/>
        <w:rPr>
          <w:rFonts w:ascii="Arial" w:eastAsia="Arial" w:hAnsi="Arial"/>
          <w:b/>
          <w:sz w:val="24"/>
          <w:szCs w:val="24"/>
        </w:rPr>
      </w:pPr>
      <w:r>
        <w:br w:type="page"/>
      </w:r>
      <w:r>
        <w:rPr>
          <w:rFonts w:ascii="Arial" w:eastAsia="Arial" w:hAnsi="Arial"/>
          <w:b/>
          <w:sz w:val="24"/>
          <w:szCs w:val="24"/>
        </w:rPr>
        <w:lastRenderedPageBreak/>
        <w:t>Annex 1: Rating Agencies and their standard Rating System</w:t>
      </w:r>
    </w:p>
    <w:p w:rsidR="007F5BB2" w:rsidRDefault="00C3484C">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rsidR="007F5BB2" w:rsidRDefault="00C3484C">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rsidR="007F5BB2" w:rsidRDefault="00C3484C">
      <w:pPr>
        <w:spacing w:after="200" w:line="276" w:lineRule="auto"/>
        <w:jc w:val="left"/>
        <w:rPr>
          <w:rFonts w:ascii="Arial" w:eastAsia="Arial" w:hAnsi="Arial"/>
          <w:sz w:val="24"/>
          <w:szCs w:val="24"/>
        </w:rPr>
      </w:pPr>
      <w:r>
        <w:br w:type="page"/>
      </w:r>
    </w:p>
    <w:p w:rsidR="007F5BB2" w:rsidRDefault="00C3484C">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4" w:name="_heading=h.3whwml4" w:colFirst="0" w:colLast="0"/>
      <w:bookmarkEnd w:id="4"/>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7F5BB2">
        <w:tc>
          <w:tcPr>
            <w:tcW w:w="3080" w:type="dxa"/>
            <w:tcBorders>
              <w:top w:val="single" w:sz="4" w:space="0" w:color="000000"/>
            </w:tcBorders>
            <w:shd w:val="clear" w:color="auto" w:fill="FFFFFF"/>
          </w:tcPr>
          <w:p w:rsidR="007F5BB2" w:rsidRDefault="00C3484C">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7F5BB2" w:rsidRDefault="00C3484C">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7F5BB2">
        <w:tc>
          <w:tcPr>
            <w:tcW w:w="3080" w:type="dxa"/>
            <w:shd w:val="clear" w:color="auto" w:fill="FFFFFF"/>
          </w:tcPr>
          <w:p w:rsidR="007F5BB2" w:rsidRDefault="00C3484C">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7F5BB2" w:rsidRDefault="00C3484C">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[insert rating]</w:t>
            </w:r>
          </w:p>
        </w:tc>
      </w:tr>
      <w:tr w:rsidR="007F5BB2">
        <w:tc>
          <w:tcPr>
            <w:tcW w:w="3080" w:type="dxa"/>
            <w:shd w:val="clear" w:color="auto" w:fill="FFFFFF"/>
          </w:tcPr>
          <w:p w:rsidR="007F5BB2" w:rsidRDefault="00C3484C">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3081" w:type="dxa"/>
            <w:shd w:val="clear" w:color="auto" w:fill="FFFFFF"/>
          </w:tcPr>
          <w:p w:rsidR="007F5BB2" w:rsidRDefault="007F5BB2">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7F5BB2">
        <w:tc>
          <w:tcPr>
            <w:tcW w:w="3080" w:type="dxa"/>
            <w:tcBorders>
              <w:bottom w:val="single" w:sz="4" w:space="0" w:color="000000"/>
            </w:tcBorders>
            <w:shd w:val="clear" w:color="auto" w:fill="FFFFFF"/>
          </w:tcPr>
          <w:p w:rsidR="007F5BB2" w:rsidRDefault="00C3484C">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7F5BB2" w:rsidRDefault="007F5BB2">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C3484C">
      <w:pPr>
        <w:spacing w:after="200" w:line="276" w:lineRule="auto"/>
        <w:jc w:val="left"/>
        <w:rPr>
          <w:rFonts w:ascii="Arial" w:eastAsia="Arial" w:hAnsi="Arial"/>
          <w:sz w:val="24"/>
          <w:szCs w:val="24"/>
        </w:rPr>
      </w:pPr>
      <w:r>
        <w:br w:type="page"/>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Annex 3: Calculation methodology for Financial Indicators</w:t>
      </w:r>
    </w:p>
    <w:p w:rsidR="007F5BB2" w:rsidRDefault="00C3484C">
      <w:pPr>
        <w:pBdr>
          <w:top w:val="nil"/>
          <w:left w:val="nil"/>
          <w:bottom w:val="nil"/>
          <w:right w:val="nil"/>
          <w:between w:val="nil"/>
        </w:pBdr>
        <w:spacing w:before="100" w:after="200"/>
        <w:jc w:val="left"/>
        <w:rPr>
          <w:rFonts w:ascii="Arial" w:eastAsia="Arial" w:hAnsi="Arial"/>
          <w:b/>
          <w:i/>
          <w:color w:val="000000"/>
          <w:sz w:val="24"/>
          <w:szCs w:val="24"/>
        </w:rPr>
      </w:pPr>
      <w:bookmarkStart w:id="5" w:name="_heading=h.2bn6wsx" w:colFirst="0" w:colLast="0"/>
      <w:bookmarkEnd w:id="5"/>
      <w:r>
        <w:rPr>
          <w:rFonts w:ascii="Arial" w:eastAsia="Arial" w:hAnsi="Arial"/>
          <w:b/>
          <w:i/>
          <w:color w:val="000000"/>
          <w:sz w:val="24"/>
          <w:szCs w:val="24"/>
          <w:highlight w:val="yellow"/>
        </w:rPr>
        <w:t>[Guidance: Amend this section as appropriate to reflect the calculation methodology for those Financial Indicators that are selected for inclusion in Paragraph 5.1 of this Schedule]</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shall ensure that it uses the following general and specific methodologies for calculating the Financial Indicators against the Financial Target Thresholds:</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rsidR="007F5BB2" w:rsidRDefault="00C3484C">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7F5BB2" w:rsidRDefault="00C3484C">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6" w:name="_heading=h.qsh70q" w:colFirst="0" w:colLast="0"/>
      <w:bookmarkEnd w:id="6"/>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rsidR="007F5BB2" w:rsidRDefault="00C3484C">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 foreign currencies should be converted at the exchange rate in force at the relevant date for which the Financial Indicator is being calculated.</w:t>
      </w:r>
    </w:p>
    <w:p w:rsidR="007F5BB2" w:rsidRDefault="00C3484C">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statements before adjusting for non-underlying items.</w:t>
      </w:r>
    </w:p>
    <w:p w:rsidR="007F5BB2" w:rsidRDefault="00C3484C">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7F5BB2">
        <w:tc>
          <w:tcPr>
            <w:tcW w:w="2538" w:type="dxa"/>
            <w:shd w:val="clear" w:color="auto" w:fill="D9D9D9"/>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6478" w:type="dxa"/>
            <w:shd w:val="clear" w:color="auto" w:fill="D9D9D9"/>
          </w:tcPr>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7F5BB2">
        <w:tc>
          <w:tcPr>
            <w:tcW w:w="2538" w:type="dxa"/>
            <w:vAlign w:val="center"/>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6478" w:type="dxa"/>
          </w:tcPr>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ventures or Associates.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7F5BB2">
        <w:tc>
          <w:tcPr>
            <w:tcW w:w="2538" w:type="dxa"/>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6478" w:type="dxa"/>
          </w:tcPr>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lastRenderedPageBreak/>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Free Cash Flow to Net Debt Ratio should be shown on the face of the Statement of Cash Flows and the Balance Sheet in a standard set of financial statements.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 from Operating Activities</w:t>
            </w:r>
            <w:r>
              <w:rPr>
                <w:rFonts w:ascii="Arial" w:eastAsia="Arial" w:hAnsi="Arial"/>
                <w:color w:val="000000"/>
                <w:sz w:val="24"/>
                <w:szCs w:val="24"/>
              </w:rPr>
              <w:t>: This should be stated after deduction of interest and tax paid.</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w:t>
            </w:r>
            <w:proofErr w:type="gramStart"/>
            <w:r>
              <w:rPr>
                <w:rFonts w:ascii="Arial" w:eastAsia="Arial" w:hAnsi="Arial"/>
                <w:color w:val="000000"/>
                <w:sz w:val="24"/>
                <w:szCs w:val="24"/>
              </w:rPr>
              <w:t>respect  of</w:t>
            </w:r>
            <w:proofErr w:type="gramEnd"/>
            <w:r>
              <w:rPr>
                <w:rFonts w:ascii="Arial" w:eastAsia="Arial" w:hAnsi="Arial"/>
                <w:color w:val="000000"/>
                <w:sz w:val="24"/>
                <w:szCs w:val="24"/>
              </w:rPr>
              <w:t xml:space="preserve"> any hedges designated as linked to borrowings (but not non-designated hedges). Borrowings should also include balances owed to other group members.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entity has net cash), the relevant Financial Target Threshold should be treated as having been met.</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to EBITDA Ratio should be shown on the face of the </w:t>
            </w:r>
            <w:r>
              <w:rPr>
                <w:rFonts w:ascii="Arial" w:eastAsia="Arial" w:hAnsi="Arial"/>
                <w:color w:val="000000"/>
                <w:sz w:val="24"/>
                <w:szCs w:val="24"/>
              </w:rPr>
              <w:lastRenderedPageBreak/>
              <w:t>Balance sheet, Income statement and Statement of Cash Flows in a standard set of financial statements but will otherwise be found in the notes to the financial statements.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Where Net debt is negative (i.e. an entity has net cash), the relevant Financial Target Threshold should be treated as having been met. </w:t>
            </w:r>
          </w:p>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bookmarkStart w:id="7" w:name="_heading=h.3as4poj" w:colFirst="0" w:colLast="0"/>
            <w:bookmarkEnd w:id="7"/>
            <w:r>
              <w:rPr>
                <w:rFonts w:ascii="Arial" w:eastAsia="Arial" w:hAnsi="Arial"/>
                <w:i/>
                <w:color w:val="000000"/>
                <w:sz w:val="24"/>
                <w:szCs w:val="24"/>
                <w:u w:val="single"/>
              </w:rPr>
              <w:t>EBITDA</w:t>
            </w:r>
            <w:r>
              <w:rPr>
                <w:rFonts w:ascii="Arial" w:eastAsia="Arial" w:hAnsi="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7F5BB2">
        <w:tc>
          <w:tcPr>
            <w:tcW w:w="2538" w:type="dxa"/>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3</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 xml:space="preserve">Net Debt + </w:t>
            </w:r>
            <w:proofErr w:type="gramStart"/>
            <w:r>
              <w:rPr>
                <w:rFonts w:ascii="Arial" w:eastAsia="Arial" w:hAnsi="Arial"/>
                <w:b/>
                <w:color w:val="000000"/>
                <w:sz w:val="24"/>
                <w:szCs w:val="24"/>
              </w:rPr>
              <w:t>Net  Pension</w:t>
            </w:r>
            <w:proofErr w:type="gramEnd"/>
            <w:r>
              <w:rPr>
                <w:rFonts w:ascii="Arial" w:eastAsia="Arial" w:hAnsi="Arial"/>
                <w:b/>
                <w:color w:val="000000"/>
                <w:sz w:val="24"/>
                <w:szCs w:val="24"/>
              </w:rPr>
              <w:t xml:space="preserve"> Deficit to EBITDA ratio</w:t>
            </w:r>
          </w:p>
        </w:tc>
        <w:tc>
          <w:tcPr>
            <w:tcW w:w="6478" w:type="dxa"/>
          </w:tcPr>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Assets</w:t>
            </w:r>
          </w:p>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 Net Pension Deficit to EBITDA Ratio should be shown on the face of the Balance sheet, Income statement and Statement of Cash Flows in a standard set of financial </w:t>
            </w:r>
            <w:r>
              <w:rPr>
                <w:rFonts w:ascii="Arial" w:eastAsia="Arial" w:hAnsi="Arial"/>
                <w:color w:val="000000"/>
                <w:sz w:val="24"/>
                <w:szCs w:val="24"/>
              </w:rPr>
              <w:lastRenderedPageBreak/>
              <w:t>statements but will otherwise be found in the notes to the financial statements.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olor w:val="000000"/>
                <w:sz w:val="24"/>
                <w:szCs w:val="24"/>
              </w:rPr>
              <w:t>interest bearing</w:t>
            </w:r>
            <w:proofErr w:type="gramEnd"/>
            <w:r>
              <w:rPr>
                <w:rFonts w:ascii="Arial" w:eastAsia="Arial" w:hAnsi="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bookmarkStart w:id="8" w:name="_heading=h.1pxezwc" w:colFirst="0" w:colLast="0"/>
            <w:bookmarkEnd w:id="8"/>
            <w:r>
              <w:rPr>
                <w:rFonts w:ascii="Arial" w:eastAsia="Arial" w:hAnsi="Arial"/>
                <w:color w:val="000000"/>
                <w:sz w:val="24"/>
                <w:szCs w:val="24"/>
              </w:rPr>
              <w:t xml:space="preserve">The depreciation and amortisation charges for the period may be found on the face of the Statement of Cash Flows or in a Note to the Accounts. </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7F5BB2">
        <w:tc>
          <w:tcPr>
            <w:tcW w:w="2538" w:type="dxa"/>
            <w:vAlign w:val="center"/>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4</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6478" w:type="dxa"/>
          </w:tcPr>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Operating profit should be shown on the face of the Income Statement in a standard set of financial statements and, for the purposes of calculating this Financial </w:t>
            </w:r>
            <w:r>
              <w:rPr>
                <w:rFonts w:ascii="Arial" w:eastAsia="Arial" w:hAnsi="Arial"/>
                <w:color w:val="000000"/>
                <w:sz w:val="24"/>
                <w:szCs w:val="24"/>
              </w:rPr>
              <w:lastRenderedPageBreak/>
              <w:t>Indicator, should include the entity’s share of the results of any joint ventures or Associates.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7F5BB2">
        <w:tc>
          <w:tcPr>
            <w:tcW w:w="2538" w:type="dxa"/>
            <w:vAlign w:val="center"/>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lastRenderedPageBreak/>
              <w:t>5</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6478" w:type="dxa"/>
          </w:tcPr>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7F5BB2">
        <w:tc>
          <w:tcPr>
            <w:tcW w:w="2538" w:type="dxa"/>
            <w:vAlign w:val="center"/>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6478" w:type="dxa"/>
          </w:tcPr>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7F5BB2">
        <w:tc>
          <w:tcPr>
            <w:tcW w:w="2538" w:type="dxa"/>
            <w:vAlign w:val="center"/>
          </w:tcPr>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6478" w:type="dxa"/>
          </w:tcPr>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rsidR="007F5BB2" w:rsidRDefault="00C3484C">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Group Exposure</w:t>
            </w:r>
            <w:r>
              <w:rPr>
                <w:rFonts w:ascii="Arial" w:eastAsia="Arial" w:hAnsi="Arial"/>
                <w:color w:val="000000"/>
                <w:sz w:val="24"/>
                <w:szCs w:val="24"/>
              </w:rPr>
              <w:t>:  Balances owed by (</w:t>
            </w:r>
            <w:proofErr w:type="spellStart"/>
            <w:r>
              <w:rPr>
                <w:rFonts w:ascii="Arial" w:eastAsia="Arial" w:hAnsi="Arial"/>
                <w:color w:val="000000"/>
                <w:sz w:val="24"/>
                <w:szCs w:val="24"/>
              </w:rPr>
              <w:t>ie</w:t>
            </w:r>
            <w:proofErr w:type="spellEnd"/>
            <w:r>
              <w:rPr>
                <w:rFonts w:ascii="Arial" w:eastAsia="Arial" w:hAnsi="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lastRenderedPageBreak/>
              <w:t>In many cases an entity may not have assumed any contingent liabilities in support of Group Undertakings, in particular where an entity is not a member of a group or is itself the ultimate holding company of the group.</w:t>
            </w:r>
          </w:p>
          <w:p w:rsidR="007F5BB2" w:rsidRDefault="00C3484C">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Current assets are shown on the face of the Balance Sheet</w:t>
            </w:r>
          </w:p>
        </w:tc>
      </w:tr>
    </w:tbl>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C3484C">
      <w:pPr>
        <w:spacing w:after="200" w:line="276" w:lineRule="auto"/>
        <w:jc w:val="left"/>
        <w:rPr>
          <w:rFonts w:ascii="Arial" w:eastAsia="Arial" w:hAnsi="Arial"/>
          <w:sz w:val="24"/>
          <w:szCs w:val="24"/>
        </w:rPr>
      </w:pPr>
      <w:r>
        <w:br w:type="page"/>
      </w:r>
    </w:p>
    <w:p w:rsidR="007F5BB2" w:rsidRDefault="00C3484C">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9" w:name="_heading=h.49x2ik5" w:colFirst="0" w:colLast="0"/>
      <w:bookmarkEnd w:id="9"/>
      <w:r>
        <w:rPr>
          <w:rFonts w:ascii="Arial Bold" w:eastAsia="Arial Bold" w:hAnsi="Arial Bold" w:cs="Arial Bold"/>
          <w:b/>
          <w:smallCaps/>
          <w:color w:val="000000"/>
          <w:sz w:val="24"/>
          <w:szCs w:val="24"/>
        </w:rPr>
        <w:lastRenderedPageBreak/>
        <w:t>Annex 4: Board Confirmation</w:t>
      </w: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rsidR="007F5BB2" w:rsidRDefault="00C3484C">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C3484C">
      <w:pPr>
        <w:pBdr>
          <w:top w:val="nil"/>
          <w:left w:val="nil"/>
          <w:bottom w:val="nil"/>
          <w:right w:val="nil"/>
          <w:between w:val="nil"/>
        </w:pBdr>
        <w:spacing w:before="100" w:after="200"/>
        <w:ind w:left="720"/>
        <w:jc w:val="left"/>
        <w:rPr>
          <w:rFonts w:ascii="Arial" w:eastAsia="Arial" w:hAnsi="Arial"/>
          <w:color w:val="000000"/>
          <w:sz w:val="24"/>
          <w:szCs w:val="24"/>
        </w:rPr>
      </w:pPr>
      <w:bookmarkStart w:id="10" w:name="_heading=h.2p2csry" w:colFirst="0" w:colLast="0"/>
      <w:bookmarkEnd w:id="10"/>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rsidR="007F5BB2" w:rsidRDefault="00C3484C">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The Board of Directors confirms, to the best of its knowledge and belief, that as at the date of this Board Confirmation it is not aware of and has no knowledge:</w:t>
      </w:r>
    </w:p>
    <w:p w:rsidR="007F5BB2" w:rsidRDefault="00C3484C">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rsidR="007F5BB2" w:rsidRDefault="00C3484C">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 Event</w:t>
      </w: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C3484C">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C3484C">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rsidR="007F5BB2" w:rsidRDefault="00C3484C">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7F5BB2" w:rsidRDefault="00C3484C">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7F5BB2" w:rsidRDefault="007F5BB2">
      <w:pPr>
        <w:pBdr>
          <w:top w:val="nil"/>
          <w:left w:val="nil"/>
          <w:bottom w:val="nil"/>
          <w:right w:val="nil"/>
          <w:between w:val="nil"/>
        </w:pBdr>
        <w:spacing w:before="100" w:after="200"/>
        <w:jc w:val="left"/>
        <w:rPr>
          <w:rFonts w:ascii="Arial" w:eastAsia="Arial" w:hAnsi="Arial"/>
          <w:color w:val="000000"/>
          <w:sz w:val="24"/>
          <w:szCs w:val="24"/>
        </w:rPr>
      </w:pPr>
    </w:p>
    <w:p w:rsidR="007F5BB2" w:rsidRDefault="00C3484C">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rsidR="007F5BB2" w:rsidRDefault="00C3484C">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7F5BB2" w:rsidRDefault="00C3484C">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7F5BB2" w:rsidRDefault="007F5BB2">
      <w:pPr>
        <w:spacing w:after="200" w:line="276" w:lineRule="auto"/>
        <w:jc w:val="left"/>
        <w:rPr>
          <w:rFonts w:ascii="Arial" w:eastAsia="Arial" w:hAnsi="Arial"/>
          <w:sz w:val="24"/>
          <w:szCs w:val="24"/>
        </w:rPr>
      </w:pPr>
      <w:bookmarkStart w:id="11" w:name="_heading=h.4i7ojhp" w:colFirst="0" w:colLast="0"/>
      <w:bookmarkEnd w:id="11"/>
    </w:p>
    <w:sectPr w:rsidR="007F5BB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CD1" w:rsidRDefault="00140CD1">
      <w:pPr>
        <w:spacing w:after="0"/>
      </w:pPr>
      <w:r>
        <w:separator/>
      </w:r>
    </w:p>
  </w:endnote>
  <w:endnote w:type="continuationSeparator" w:id="0">
    <w:p w:rsidR="00140CD1" w:rsidRDefault="00140C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BB2" w:rsidRDefault="007F5BB2">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BB2" w:rsidRDefault="00C3484C">
    <w:pPr>
      <w:tabs>
        <w:tab w:val="center" w:pos="4513"/>
        <w:tab w:val="right" w:pos="9026"/>
      </w:tabs>
      <w:spacing w:after="0"/>
      <w:rPr>
        <w:rFonts w:ascii="Arial" w:eastAsia="Arial" w:hAnsi="Arial"/>
        <w:sz w:val="20"/>
        <w:szCs w:val="20"/>
      </w:rPr>
    </w:pPr>
    <w:r>
      <w:rPr>
        <w:rFonts w:ascii="Arial" w:eastAsia="Arial" w:hAnsi="Arial"/>
        <w:sz w:val="20"/>
        <w:szCs w:val="20"/>
      </w:rPr>
      <w:t>Framework Ref: RM6342</w:t>
    </w:r>
    <w:r>
      <w:rPr>
        <w:rFonts w:ascii="Arial" w:eastAsia="Arial" w:hAnsi="Arial"/>
        <w:sz w:val="20"/>
        <w:szCs w:val="20"/>
      </w:rPr>
      <w:tab/>
      <w:t xml:space="preserve">                                           </w:t>
    </w:r>
  </w:p>
  <w:p w:rsidR="007F5BB2" w:rsidRDefault="00C3484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809E9">
      <w:rPr>
        <w:rFonts w:ascii="Arial" w:eastAsia="Arial" w:hAnsi="Arial"/>
        <w:noProof/>
        <w:color w:val="000000"/>
        <w:sz w:val="20"/>
        <w:szCs w:val="20"/>
      </w:rPr>
      <w:t>1</w:t>
    </w:r>
    <w:r>
      <w:rPr>
        <w:rFonts w:ascii="Arial" w:eastAsia="Arial" w:hAnsi="Arial"/>
        <w:color w:val="000000"/>
        <w:sz w:val="20"/>
        <w:szCs w:val="20"/>
      </w:rPr>
      <w:fldChar w:fldCharType="end"/>
    </w:r>
  </w:p>
  <w:p w:rsidR="007F5BB2" w:rsidRDefault="00C3484C">
    <w:pPr>
      <w:spacing w:after="0"/>
      <w:rPr>
        <w:rFonts w:ascii="Arial" w:eastAsia="Arial" w:hAnsi="Arial"/>
        <w:sz w:val="20"/>
        <w:szCs w:val="20"/>
      </w:rPr>
    </w:pPr>
    <w:bookmarkStart w:id="12" w:name="_heading=h.147n2zr" w:colFirst="0" w:colLast="0"/>
    <w:bookmarkEnd w:id="12"/>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BB2" w:rsidRDefault="00C3484C">
    <w:pPr>
      <w:tabs>
        <w:tab w:val="center" w:pos="4513"/>
        <w:tab w:val="right" w:pos="9026"/>
      </w:tabs>
      <w:spacing w:after="0"/>
      <w:rPr>
        <w:color w:val="BFBFBF"/>
      </w:rPr>
    </w:pPr>
    <w:r>
      <w:rPr>
        <w:color w:val="BFBFBF"/>
      </w:rPr>
      <w:t>Framework Ref: RM</w:t>
    </w:r>
    <w:r>
      <w:rPr>
        <w:color w:val="BFBFBF"/>
      </w:rPr>
      <w:tab/>
      <w:t xml:space="preserve">                                           </w:t>
    </w:r>
  </w:p>
  <w:p w:rsidR="007F5BB2" w:rsidRDefault="00C3484C">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7F5BB2" w:rsidRDefault="00C3484C">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CD1" w:rsidRDefault="00140CD1">
      <w:pPr>
        <w:spacing w:after="0"/>
      </w:pPr>
      <w:r>
        <w:separator/>
      </w:r>
    </w:p>
  </w:footnote>
  <w:footnote w:type="continuationSeparator" w:id="0">
    <w:p w:rsidR="00140CD1" w:rsidRDefault="00140C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BB2" w:rsidRDefault="007F5BB2">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BB2" w:rsidRDefault="00C3484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7F5BB2" w:rsidRDefault="00C3484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5BB2" w:rsidRDefault="007F5BB2">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C97F18"/>
    <w:multiLevelType w:val="hybridMultilevel"/>
    <w:tmpl w:val="1084DD72"/>
    <w:lvl w:ilvl="0" w:tplc="08090001">
      <w:start w:val="1"/>
      <w:numFmt w:val="bullet"/>
      <w:lvlText w:val=""/>
      <w:lvlJc w:val="left"/>
      <w:pPr>
        <w:ind w:left="868" w:hanging="360"/>
      </w:pPr>
      <w:rPr>
        <w:rFonts w:ascii="Symbol" w:hAnsi="Symbol" w:hint="default"/>
      </w:rPr>
    </w:lvl>
    <w:lvl w:ilvl="1" w:tplc="08090003" w:tentative="1">
      <w:start w:val="1"/>
      <w:numFmt w:val="bullet"/>
      <w:lvlText w:val="o"/>
      <w:lvlJc w:val="left"/>
      <w:pPr>
        <w:ind w:left="1588" w:hanging="360"/>
      </w:pPr>
      <w:rPr>
        <w:rFonts w:ascii="Courier New" w:hAnsi="Courier New" w:cs="Courier New" w:hint="default"/>
      </w:rPr>
    </w:lvl>
    <w:lvl w:ilvl="2" w:tplc="08090005" w:tentative="1">
      <w:start w:val="1"/>
      <w:numFmt w:val="bullet"/>
      <w:lvlText w:val=""/>
      <w:lvlJc w:val="left"/>
      <w:pPr>
        <w:ind w:left="2308" w:hanging="360"/>
      </w:pPr>
      <w:rPr>
        <w:rFonts w:ascii="Wingdings" w:hAnsi="Wingdings" w:hint="default"/>
      </w:rPr>
    </w:lvl>
    <w:lvl w:ilvl="3" w:tplc="08090001" w:tentative="1">
      <w:start w:val="1"/>
      <w:numFmt w:val="bullet"/>
      <w:lvlText w:val=""/>
      <w:lvlJc w:val="left"/>
      <w:pPr>
        <w:ind w:left="3028" w:hanging="360"/>
      </w:pPr>
      <w:rPr>
        <w:rFonts w:ascii="Symbol" w:hAnsi="Symbol" w:hint="default"/>
      </w:rPr>
    </w:lvl>
    <w:lvl w:ilvl="4" w:tplc="08090003" w:tentative="1">
      <w:start w:val="1"/>
      <w:numFmt w:val="bullet"/>
      <w:lvlText w:val="o"/>
      <w:lvlJc w:val="left"/>
      <w:pPr>
        <w:ind w:left="3748" w:hanging="360"/>
      </w:pPr>
      <w:rPr>
        <w:rFonts w:ascii="Courier New" w:hAnsi="Courier New" w:cs="Courier New" w:hint="default"/>
      </w:rPr>
    </w:lvl>
    <w:lvl w:ilvl="5" w:tplc="08090005" w:tentative="1">
      <w:start w:val="1"/>
      <w:numFmt w:val="bullet"/>
      <w:lvlText w:val=""/>
      <w:lvlJc w:val="left"/>
      <w:pPr>
        <w:ind w:left="4468" w:hanging="360"/>
      </w:pPr>
      <w:rPr>
        <w:rFonts w:ascii="Wingdings" w:hAnsi="Wingdings" w:hint="default"/>
      </w:rPr>
    </w:lvl>
    <w:lvl w:ilvl="6" w:tplc="08090001" w:tentative="1">
      <w:start w:val="1"/>
      <w:numFmt w:val="bullet"/>
      <w:lvlText w:val=""/>
      <w:lvlJc w:val="left"/>
      <w:pPr>
        <w:ind w:left="5188" w:hanging="360"/>
      </w:pPr>
      <w:rPr>
        <w:rFonts w:ascii="Symbol" w:hAnsi="Symbol" w:hint="default"/>
      </w:rPr>
    </w:lvl>
    <w:lvl w:ilvl="7" w:tplc="08090003" w:tentative="1">
      <w:start w:val="1"/>
      <w:numFmt w:val="bullet"/>
      <w:lvlText w:val="o"/>
      <w:lvlJc w:val="left"/>
      <w:pPr>
        <w:ind w:left="5908" w:hanging="360"/>
      </w:pPr>
      <w:rPr>
        <w:rFonts w:ascii="Courier New" w:hAnsi="Courier New" w:cs="Courier New" w:hint="default"/>
      </w:rPr>
    </w:lvl>
    <w:lvl w:ilvl="8" w:tplc="08090005" w:tentative="1">
      <w:start w:val="1"/>
      <w:numFmt w:val="bullet"/>
      <w:lvlText w:val=""/>
      <w:lvlJc w:val="left"/>
      <w:pPr>
        <w:ind w:left="6628" w:hanging="360"/>
      </w:pPr>
      <w:rPr>
        <w:rFonts w:ascii="Wingdings" w:hAnsi="Wingdings" w:hint="default"/>
      </w:rPr>
    </w:lvl>
  </w:abstractNum>
  <w:abstractNum w:abstractNumId="1" w15:restartNumberingAfterBreak="0">
    <w:nsid w:val="4D3D7164"/>
    <w:multiLevelType w:val="multilevel"/>
    <w:tmpl w:val="B958EE5A"/>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33736E6"/>
    <w:multiLevelType w:val="multilevel"/>
    <w:tmpl w:val="8EE20A7E"/>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7F930ECD"/>
    <w:multiLevelType w:val="multilevel"/>
    <w:tmpl w:val="E916A21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3"/>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BB2"/>
    <w:rsid w:val="00140CD1"/>
    <w:rsid w:val="00513BC6"/>
    <w:rsid w:val="00533BC6"/>
    <w:rsid w:val="007F5BB2"/>
    <w:rsid w:val="00BC4167"/>
    <w:rsid w:val="00C3484C"/>
    <w:rsid w:val="00C809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2C5B40-91BF-4FA4-A96D-3D5F0FE99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3"/>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tabs>
        <w:tab w:val="num" w:pos="720"/>
      </w:tabs>
      <w:ind w:left="720" w:hanging="720"/>
    </w:pPr>
    <w:rPr>
      <w:b w:val="0"/>
    </w:rPr>
  </w:style>
  <w:style w:type="paragraph" w:customStyle="1" w:styleId="AppendixText3">
    <w:name w:val="Appendix Text 3"/>
    <w:basedOn w:val="Normal"/>
    <w:next w:val="Normal"/>
    <w:rsid w:val="006B02AC"/>
    <w:pPr>
      <w:numPr>
        <w:ilvl w:val="2"/>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4"/>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5">
    <w:name w:val="5"/>
    <w:basedOn w:val="TableNormal"/>
    <w:pPr>
      <w:spacing w:after="0"/>
    </w:pPr>
    <w:rPr>
      <w:sz w:val="20"/>
      <w:szCs w:val="20"/>
    </w:rPr>
    <w:tblPr>
      <w:tblStyleRowBandSize w:val="1"/>
      <w:tblStyleColBandSize w:val="1"/>
    </w:tblPr>
  </w:style>
  <w:style w:type="table" w:customStyle="1" w:styleId="4">
    <w:name w:val="4"/>
    <w:basedOn w:val="TableNormal"/>
    <w:pPr>
      <w:spacing w:after="0"/>
    </w:pPr>
    <w:rPr>
      <w:sz w:val="20"/>
      <w:szCs w:val="20"/>
    </w:rPr>
    <w:tblPr>
      <w:tblStyleRowBandSize w:val="1"/>
      <w:tblStyleColBandSize w:val="1"/>
    </w:tblPr>
  </w:style>
  <w:style w:type="table" w:customStyle="1" w:styleId="3">
    <w:name w:val="3"/>
    <w:basedOn w:val="TableNormal"/>
    <w:pPr>
      <w:spacing w:after="0"/>
    </w:pPr>
    <w:rPr>
      <w:sz w:val="20"/>
      <w:szCs w:val="20"/>
    </w:rPr>
    <w:tblPr>
      <w:tblStyleRowBandSize w:val="1"/>
      <w:tblStyleColBandSize w:val="1"/>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pPr>
      <w:spacing w:after="0"/>
    </w:pPr>
    <w:rPr>
      <w:sz w:val="20"/>
      <w:szCs w:val="20"/>
    </w:rPr>
    <w:tblPr>
      <w:tblStyleRowBandSize w:val="1"/>
      <w:tblStyleColBandSize w:val="1"/>
    </w:tblPr>
  </w:style>
  <w:style w:type="table" w:customStyle="1" w:styleId="a">
    <w:basedOn w:val="TableNormal"/>
    <w:pPr>
      <w:spacing w:after="0"/>
    </w:pPr>
    <w:rPr>
      <w:sz w:val="20"/>
      <w:szCs w:val="20"/>
    </w:rPr>
    <w:tblPr>
      <w:tblStyleRowBandSize w:val="1"/>
      <w:tblStyleColBandSize w:val="1"/>
      <w:tblCellMar>
        <w:left w:w="115" w:type="dxa"/>
        <w:right w:w="115" w:type="dxa"/>
      </w:tblCellMar>
    </w:tblPr>
  </w:style>
  <w:style w:type="table" w:customStyle="1" w:styleId="a0">
    <w:basedOn w:val="TableNormal"/>
    <w:pPr>
      <w:spacing w:after="0"/>
    </w:pPr>
    <w:rPr>
      <w:sz w:val="20"/>
      <w:szCs w:val="20"/>
    </w:rPr>
    <w:tblPr>
      <w:tblStyleRowBandSize w:val="1"/>
      <w:tblStyleColBandSize w:val="1"/>
      <w:tblCellMar>
        <w:left w:w="115" w:type="dxa"/>
        <w:right w:w="115" w:type="dxa"/>
      </w:tblCellMar>
    </w:tblPr>
  </w:style>
  <w:style w:type="table" w:customStyle="1" w:styleId="a1">
    <w:basedOn w:val="TableNormal"/>
    <w:pPr>
      <w:spacing w:after="0"/>
    </w:pPr>
    <w:rPr>
      <w:sz w:val="20"/>
      <w:szCs w:val="20"/>
    </w:rPr>
    <w:tblPr>
      <w:tblStyleRowBandSize w:val="1"/>
      <w:tblStyleColBandSize w:val="1"/>
      <w:tblCellMar>
        <w:left w:w="115" w:type="dxa"/>
        <w:right w:w="115" w:type="dxa"/>
      </w:tblCellMar>
    </w:tbl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C809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I0xwGvWSsNPcabN6T7KwWSSA3g==">CgMxLjAyCWguM2R5NnZrbTIJaC4xY2k5M3hiMgloLjN3aHdtbDQyCWguMmJuNndzeDIIaC5xc2g3MHEyCWguM2FzNHBvajIJaC4xcHhlendjMgloLjQ5eDJpazUyCWguMnAyY3NyeTIJaC40aTdvamhwMgloLjE0N24yenI4AHIhMVpreWRkSjloYTN0ZThQaTIxZ3BfUU83dmRTcmtpaGlK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5171</Words>
  <Characters>29478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Sal Tempera</cp:lastModifiedBy>
  <cp:revision>2</cp:revision>
  <dcterms:created xsi:type="dcterms:W3CDTF">2024-06-06T10:07:00Z</dcterms:created>
  <dcterms:modified xsi:type="dcterms:W3CDTF">2024-06-06T10:07:00Z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